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4804" w14:textId="15C8648F" w:rsidR="00C869F3" w:rsidRDefault="009D3E68" w:rsidP="00C869F3">
      <w:pPr>
        <w:spacing w:after="480"/>
      </w:pPr>
      <w:r>
        <w:t>0</w:t>
      </w:r>
      <w:r w:rsidR="001C1AD7">
        <w:rPr>
          <w:noProof/>
        </w:rPr>
        <w:drawing>
          <wp:inline distT="0" distB="0" distL="0" distR="0" wp14:anchorId="689F498D" wp14:editId="0664E050">
            <wp:extent cx="2011044" cy="495300"/>
            <wp:effectExtent l="0" t="0" r="0" b="0"/>
            <wp:docPr id="1"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arrow Council Logo" title="Harrow Council Logo"/>
                    <pic:cNvPicPr/>
                  </pic:nvPicPr>
                  <pic:blipFill>
                    <a:blip r:embed="rId12"/>
                    <a:stretch>
                      <a:fillRect/>
                    </a:stretch>
                  </pic:blipFill>
                  <pic:spPr>
                    <a:xfrm>
                      <a:off x="0" y="0"/>
                      <a:ext cx="2010410" cy="495300"/>
                    </a:xfrm>
                    <a:prstGeom prst="rect">
                      <a:avLst/>
                    </a:prstGeom>
                  </pic:spPr>
                </pic:pic>
              </a:graphicData>
            </a:graphic>
          </wp:inline>
        </w:drawing>
      </w:r>
    </w:p>
    <w:tbl>
      <w:tblPr>
        <w:tblW w:w="0" w:type="auto"/>
        <w:tblLook w:val="0000" w:firstRow="0" w:lastRow="0" w:firstColumn="0" w:lastColumn="0" w:noHBand="0" w:noVBand="0"/>
      </w:tblPr>
      <w:tblGrid>
        <w:gridCol w:w="3456"/>
        <w:gridCol w:w="5054"/>
      </w:tblGrid>
      <w:tr w:rsidR="003745B2" w14:paraId="0DEA3EEB" w14:textId="77777777" w:rsidTr="00DC2956">
        <w:trPr>
          <w:tblHeader/>
        </w:trPr>
        <w:tc>
          <w:tcPr>
            <w:tcW w:w="3456" w:type="dxa"/>
            <w:tcBorders>
              <w:bottom w:val="single" w:sz="18" w:space="0" w:color="auto"/>
            </w:tcBorders>
            <w:shd w:val="clear" w:color="auto" w:fill="FFFFFF"/>
          </w:tcPr>
          <w:p w14:paraId="0F57B48C" w14:textId="77777777" w:rsidR="00333FAA" w:rsidRPr="00B805DB" w:rsidRDefault="005811F8" w:rsidP="00DC2956">
            <w:pPr>
              <w:pStyle w:val="Heading1"/>
              <w:spacing w:after="240"/>
            </w:pPr>
            <w:r>
              <w:t>Report f</w:t>
            </w:r>
            <w:r w:rsidRPr="00C869F3">
              <w:t>or</w:t>
            </w:r>
            <w:r w:rsidR="00333FAA" w:rsidRPr="00C869F3">
              <w:t>:</w:t>
            </w:r>
          </w:p>
        </w:tc>
        <w:tc>
          <w:tcPr>
            <w:tcW w:w="5054" w:type="dxa"/>
            <w:tcBorders>
              <w:bottom w:val="single" w:sz="18" w:space="0" w:color="auto"/>
            </w:tcBorders>
            <w:shd w:val="clear" w:color="auto" w:fill="FFFFFF"/>
          </w:tcPr>
          <w:p w14:paraId="32B61256" w14:textId="77777777" w:rsidR="00333FAA" w:rsidRPr="00DC2956" w:rsidRDefault="005811F8" w:rsidP="00F06E4E">
            <w:pPr>
              <w:pStyle w:val="Heading1"/>
              <w:rPr>
                <w:szCs w:val="24"/>
              </w:rPr>
            </w:pPr>
            <w:r w:rsidRPr="005E3A10">
              <w:t>Cabinet</w:t>
            </w:r>
          </w:p>
        </w:tc>
      </w:tr>
      <w:tr w:rsidR="003745B2" w14:paraId="4E19E0E9" w14:textId="77777777" w:rsidTr="00DC2956">
        <w:tc>
          <w:tcPr>
            <w:tcW w:w="3456" w:type="dxa"/>
            <w:tcBorders>
              <w:top w:val="single" w:sz="18" w:space="0" w:color="auto"/>
            </w:tcBorders>
            <w:shd w:val="clear" w:color="auto" w:fill="FFFFFF"/>
          </w:tcPr>
          <w:p w14:paraId="6E7C7065" w14:textId="77777777" w:rsidR="00333FAA" w:rsidRPr="00DC2956" w:rsidRDefault="00333FAA" w:rsidP="00DC2956">
            <w:pPr>
              <w:pStyle w:val="Infotext"/>
              <w:spacing w:after="240"/>
              <w:rPr>
                <w:rFonts w:ascii="Arial Black" w:hAnsi="Arial Black" w:cs="Arial"/>
              </w:rPr>
            </w:pPr>
            <w:r w:rsidRPr="00DC2956">
              <w:rPr>
                <w:rFonts w:ascii="Arial Black" w:hAnsi="Arial Black"/>
              </w:rPr>
              <w:t>Date of Meeting:</w:t>
            </w:r>
          </w:p>
        </w:tc>
        <w:tc>
          <w:tcPr>
            <w:tcW w:w="5054" w:type="dxa"/>
            <w:tcBorders>
              <w:top w:val="single" w:sz="18" w:space="0" w:color="auto"/>
            </w:tcBorders>
            <w:shd w:val="clear" w:color="auto" w:fill="FFFFFF"/>
          </w:tcPr>
          <w:p w14:paraId="36F0C748" w14:textId="4E8C59FF" w:rsidR="00333FAA" w:rsidRPr="00DC2956" w:rsidRDefault="00D37B01" w:rsidP="00A53B04">
            <w:pPr>
              <w:rPr>
                <w:rFonts w:cs="Arial"/>
                <w:szCs w:val="24"/>
              </w:rPr>
            </w:pPr>
            <w:r>
              <w:rPr>
                <w:rFonts w:cs="Arial"/>
                <w:szCs w:val="24"/>
              </w:rPr>
              <w:t>17</w:t>
            </w:r>
            <w:r w:rsidRPr="00D37B01">
              <w:rPr>
                <w:rFonts w:cs="Arial"/>
                <w:szCs w:val="24"/>
                <w:vertAlign w:val="superscript"/>
              </w:rPr>
              <w:t>th</w:t>
            </w:r>
            <w:r>
              <w:rPr>
                <w:rFonts w:cs="Arial"/>
                <w:szCs w:val="24"/>
              </w:rPr>
              <w:t xml:space="preserve"> November</w:t>
            </w:r>
            <w:r w:rsidR="00F27E90" w:rsidRPr="00DC2956">
              <w:rPr>
                <w:rFonts w:cs="Arial"/>
                <w:szCs w:val="24"/>
              </w:rPr>
              <w:t xml:space="preserve"> 2022</w:t>
            </w:r>
          </w:p>
        </w:tc>
      </w:tr>
      <w:tr w:rsidR="00333FAA" w14:paraId="3BEADC83" w14:textId="77777777" w:rsidTr="00DC2956">
        <w:tc>
          <w:tcPr>
            <w:tcW w:w="3456" w:type="dxa"/>
            <w:shd w:val="clear" w:color="auto" w:fill="FFFFFF"/>
          </w:tcPr>
          <w:p w14:paraId="51D6169F" w14:textId="77777777" w:rsidR="00333FAA" w:rsidRPr="00DC2956" w:rsidRDefault="00333FAA" w:rsidP="00DC2956">
            <w:pPr>
              <w:pStyle w:val="Infotext"/>
              <w:spacing w:after="240"/>
              <w:rPr>
                <w:rFonts w:ascii="Arial Black" w:hAnsi="Arial Black"/>
              </w:rPr>
            </w:pPr>
            <w:r w:rsidRPr="00DC2956">
              <w:rPr>
                <w:rFonts w:ascii="Arial Black" w:hAnsi="Arial Black" w:cs="Arial"/>
              </w:rPr>
              <w:t>Subject:</w:t>
            </w:r>
          </w:p>
        </w:tc>
        <w:tc>
          <w:tcPr>
            <w:tcW w:w="5054" w:type="dxa"/>
            <w:shd w:val="clear" w:color="auto" w:fill="FFFFFF"/>
          </w:tcPr>
          <w:p w14:paraId="1D2EB2A5" w14:textId="5B8E2C86" w:rsidR="009F5685" w:rsidRPr="00DC2956" w:rsidRDefault="00681AA7" w:rsidP="009F5685">
            <w:pPr>
              <w:rPr>
                <w:rFonts w:eastAsia="Calibri"/>
              </w:rPr>
            </w:pPr>
            <w:r w:rsidRPr="00362C1D">
              <w:rPr>
                <w:rFonts w:eastAsia="Calibri"/>
                <w:b/>
                <w:bCs/>
              </w:rPr>
              <w:t>I</w:t>
            </w:r>
            <w:r w:rsidR="00362C1D" w:rsidRPr="00362C1D">
              <w:rPr>
                <w:rFonts w:eastAsia="Calibri"/>
                <w:b/>
                <w:bCs/>
              </w:rPr>
              <w:t>nformation Report</w:t>
            </w:r>
            <w:r w:rsidR="00362C1D">
              <w:rPr>
                <w:rFonts w:eastAsia="Calibri"/>
              </w:rPr>
              <w:t>: I</w:t>
            </w:r>
            <w:r w:rsidRPr="00DC2956">
              <w:rPr>
                <w:rFonts w:eastAsia="Calibri"/>
              </w:rPr>
              <w:t xml:space="preserve">nvestment into Harrow’s </w:t>
            </w:r>
            <w:r w:rsidR="00B24BA1" w:rsidRPr="00DC2956">
              <w:rPr>
                <w:rFonts w:eastAsia="Calibri"/>
              </w:rPr>
              <w:t>Tennis Infrastructure</w:t>
            </w:r>
            <w:r w:rsidRPr="00DC2956">
              <w:rPr>
                <w:rFonts w:eastAsia="Calibri"/>
              </w:rPr>
              <w:t xml:space="preserve"> </w:t>
            </w:r>
            <w:r w:rsidR="00D37B01">
              <w:rPr>
                <w:rFonts w:eastAsia="Calibri"/>
              </w:rPr>
              <w:t>- Update</w:t>
            </w:r>
          </w:p>
          <w:p w14:paraId="23883876" w14:textId="77777777" w:rsidR="00333FAA" w:rsidRPr="00DC2956" w:rsidRDefault="00333FAA" w:rsidP="00A53B04">
            <w:pPr>
              <w:rPr>
                <w:rFonts w:cs="Arial"/>
                <w:szCs w:val="24"/>
              </w:rPr>
            </w:pPr>
          </w:p>
        </w:tc>
      </w:tr>
      <w:tr w:rsidR="00333FAA" w14:paraId="2C7A45E3" w14:textId="77777777" w:rsidTr="00DC2956">
        <w:tc>
          <w:tcPr>
            <w:tcW w:w="3456" w:type="dxa"/>
            <w:shd w:val="clear" w:color="auto" w:fill="FFFFFF"/>
          </w:tcPr>
          <w:p w14:paraId="3C1A58AB" w14:textId="77777777" w:rsidR="00333FAA" w:rsidRPr="00DC2956" w:rsidRDefault="00333FAA" w:rsidP="00DC2956">
            <w:pPr>
              <w:pStyle w:val="Infotext"/>
              <w:spacing w:after="240"/>
              <w:rPr>
                <w:rFonts w:ascii="Arial Black" w:hAnsi="Arial Black" w:cs="Arial"/>
              </w:rPr>
            </w:pPr>
            <w:r w:rsidRPr="00DC2956">
              <w:rPr>
                <w:rFonts w:ascii="Arial Black" w:hAnsi="Arial Black" w:cs="Arial"/>
              </w:rPr>
              <w:t>Key Decision:</w:t>
            </w:r>
          </w:p>
        </w:tc>
        <w:tc>
          <w:tcPr>
            <w:tcW w:w="5054" w:type="dxa"/>
            <w:shd w:val="clear" w:color="auto" w:fill="FFFFFF"/>
          </w:tcPr>
          <w:p w14:paraId="59C8721C" w14:textId="2BE0FEF8" w:rsidR="00922BF5" w:rsidRPr="00DC2956" w:rsidRDefault="005F2079" w:rsidP="00922BF5">
            <w:pPr>
              <w:rPr>
                <w:rFonts w:eastAsia="Calibri"/>
                <w:szCs w:val="24"/>
              </w:rPr>
            </w:pPr>
            <w:r>
              <w:rPr>
                <w:rFonts w:cs="Arial"/>
                <w:szCs w:val="24"/>
              </w:rPr>
              <w:t>No</w:t>
            </w:r>
          </w:p>
          <w:p w14:paraId="79CE7BC7" w14:textId="77777777" w:rsidR="00922BF5" w:rsidRPr="00DC2956" w:rsidRDefault="00922BF5" w:rsidP="00922BF5">
            <w:pPr>
              <w:rPr>
                <w:rFonts w:eastAsia="Calibri"/>
                <w:szCs w:val="24"/>
              </w:rPr>
            </w:pPr>
          </w:p>
          <w:p w14:paraId="016F78CF" w14:textId="77777777" w:rsidR="009E4D35" w:rsidRPr="00DC2956" w:rsidRDefault="009E4D35" w:rsidP="00A53B04">
            <w:pPr>
              <w:rPr>
                <w:rFonts w:cs="Arial"/>
                <w:szCs w:val="24"/>
              </w:rPr>
            </w:pPr>
          </w:p>
        </w:tc>
      </w:tr>
      <w:tr w:rsidR="001C7E35" w14:paraId="584D5AB5" w14:textId="77777777" w:rsidTr="00DC2956">
        <w:tc>
          <w:tcPr>
            <w:tcW w:w="3456" w:type="dxa"/>
            <w:shd w:val="clear" w:color="auto" w:fill="FFFFFF"/>
          </w:tcPr>
          <w:p w14:paraId="69D7E124" w14:textId="77777777" w:rsidR="001C7E35" w:rsidRPr="00DC2956" w:rsidRDefault="001C7E35" w:rsidP="00DC2956">
            <w:pPr>
              <w:pStyle w:val="Infotext"/>
              <w:spacing w:after="240"/>
              <w:rPr>
                <w:rFonts w:ascii="Arial Black" w:hAnsi="Arial Black" w:cs="Arial"/>
              </w:rPr>
            </w:pPr>
            <w:r w:rsidRPr="00DC2956">
              <w:rPr>
                <w:rFonts w:ascii="Arial Black" w:hAnsi="Arial Black" w:cs="Arial"/>
              </w:rPr>
              <w:t>Responsible Officer:</w:t>
            </w:r>
          </w:p>
        </w:tc>
        <w:tc>
          <w:tcPr>
            <w:tcW w:w="5054" w:type="dxa"/>
            <w:shd w:val="clear" w:color="auto" w:fill="FFFFFF"/>
          </w:tcPr>
          <w:p w14:paraId="243C6311" w14:textId="0C7DA215" w:rsidR="00795BEA" w:rsidRDefault="001F003A" w:rsidP="00795BEA">
            <w:pPr>
              <w:jc w:val="both"/>
              <w:rPr>
                <w:rFonts w:eastAsia="Calibri" w:cs="Arial"/>
                <w:color w:val="000000"/>
                <w:szCs w:val="24"/>
              </w:rPr>
            </w:pPr>
            <w:r w:rsidRPr="00DC2956">
              <w:rPr>
                <w:rFonts w:eastAsia="Calibri" w:cs="Arial"/>
                <w:color w:val="000000"/>
                <w:szCs w:val="24"/>
              </w:rPr>
              <w:t xml:space="preserve">Dipti Patel, Corporate Director </w:t>
            </w:r>
            <w:r w:rsidR="00B24BA1" w:rsidRPr="00DC2956">
              <w:rPr>
                <w:rFonts w:eastAsia="Calibri" w:cs="Arial"/>
                <w:color w:val="000000"/>
                <w:szCs w:val="24"/>
              </w:rPr>
              <w:t>–</w:t>
            </w:r>
            <w:r w:rsidRPr="00DC2956">
              <w:rPr>
                <w:rFonts w:eastAsia="Calibri" w:cs="Arial"/>
                <w:color w:val="000000"/>
                <w:szCs w:val="24"/>
              </w:rPr>
              <w:t xml:space="preserve"> </w:t>
            </w:r>
            <w:r w:rsidR="00B24BA1" w:rsidRPr="00DC2956">
              <w:rPr>
                <w:rFonts w:eastAsia="Calibri" w:cs="Arial"/>
                <w:color w:val="000000"/>
                <w:szCs w:val="24"/>
              </w:rPr>
              <w:t>Pla</w:t>
            </w:r>
            <w:r w:rsidR="00795BEA">
              <w:rPr>
                <w:rFonts w:eastAsia="Calibri" w:cs="Arial"/>
                <w:color w:val="000000"/>
                <w:szCs w:val="24"/>
              </w:rPr>
              <w:t>ce</w:t>
            </w:r>
            <w:r w:rsidR="00C537C0">
              <w:rPr>
                <w:rFonts w:eastAsia="Calibri" w:cs="Arial"/>
                <w:color w:val="000000"/>
                <w:szCs w:val="24"/>
              </w:rPr>
              <w:t xml:space="preserve">; </w:t>
            </w:r>
          </w:p>
          <w:p w14:paraId="111D57DD" w14:textId="36FC27D8" w:rsidR="00795BEA" w:rsidRDefault="00795BEA" w:rsidP="00795BEA">
            <w:pPr>
              <w:jc w:val="both"/>
              <w:rPr>
                <w:rFonts w:eastAsia="Calibri" w:cs="Arial"/>
                <w:szCs w:val="24"/>
              </w:rPr>
            </w:pPr>
            <w:r>
              <w:rPr>
                <w:rFonts w:eastAsia="Calibri" w:cs="Arial"/>
                <w:szCs w:val="24"/>
              </w:rPr>
              <w:t xml:space="preserve">Mark Billington </w:t>
            </w:r>
            <w:r w:rsidR="00C537C0">
              <w:rPr>
                <w:rFonts w:eastAsia="Calibri" w:cs="Arial"/>
                <w:szCs w:val="24"/>
              </w:rPr>
              <w:t xml:space="preserve">- </w:t>
            </w:r>
            <w:r>
              <w:rPr>
                <w:rFonts w:eastAsia="Calibri" w:cs="Arial"/>
                <w:szCs w:val="24"/>
              </w:rPr>
              <w:t>Director Inclusive Economy, Leisure &amp; Culture</w:t>
            </w:r>
          </w:p>
          <w:p w14:paraId="2F868FF4" w14:textId="15FFCB0C" w:rsidR="00795BEA" w:rsidRPr="00795BEA" w:rsidRDefault="00795BEA" w:rsidP="00795BEA">
            <w:pPr>
              <w:jc w:val="both"/>
              <w:rPr>
                <w:rFonts w:eastAsia="Calibri" w:cs="Arial"/>
                <w:szCs w:val="24"/>
              </w:rPr>
            </w:pPr>
          </w:p>
        </w:tc>
      </w:tr>
      <w:tr w:rsidR="001C7E35" w14:paraId="6082BD6E" w14:textId="77777777" w:rsidTr="00DC2956">
        <w:tc>
          <w:tcPr>
            <w:tcW w:w="3456" w:type="dxa"/>
            <w:shd w:val="clear" w:color="auto" w:fill="FFFFFF"/>
          </w:tcPr>
          <w:p w14:paraId="2A9DAE24" w14:textId="77777777" w:rsidR="001C7E35" w:rsidRPr="00DC2956" w:rsidRDefault="001C7E35" w:rsidP="00DC2956">
            <w:pPr>
              <w:pStyle w:val="Infotext"/>
              <w:spacing w:after="240"/>
              <w:rPr>
                <w:rFonts w:ascii="Arial Black" w:hAnsi="Arial Black"/>
              </w:rPr>
            </w:pPr>
            <w:r w:rsidRPr="00DC2956">
              <w:rPr>
                <w:rFonts w:ascii="Arial Black" w:hAnsi="Arial Black"/>
              </w:rPr>
              <w:t>Portfolio Holder:</w:t>
            </w:r>
          </w:p>
        </w:tc>
        <w:tc>
          <w:tcPr>
            <w:tcW w:w="5054" w:type="dxa"/>
            <w:shd w:val="clear" w:color="auto" w:fill="FFFFFF"/>
          </w:tcPr>
          <w:p w14:paraId="7E2E737D" w14:textId="4E6F6A2A" w:rsidR="00F55C47" w:rsidRDefault="00E5297F" w:rsidP="00F55C47">
            <w:pPr>
              <w:rPr>
                <w:rFonts w:eastAsia="Calibri" w:cs="Arial"/>
                <w:color w:val="000000"/>
                <w:szCs w:val="24"/>
              </w:rPr>
            </w:pPr>
            <w:r>
              <w:rPr>
                <w:rFonts w:eastAsia="Calibri" w:cs="Arial"/>
                <w:color w:val="000000"/>
                <w:szCs w:val="24"/>
              </w:rPr>
              <w:t>Councillor Jean Lammiman</w:t>
            </w:r>
            <w:r w:rsidR="00C537C0">
              <w:rPr>
                <w:rFonts w:eastAsia="Calibri" w:cs="Arial"/>
                <w:color w:val="000000"/>
                <w:szCs w:val="24"/>
              </w:rPr>
              <w:t xml:space="preserve"> - </w:t>
            </w:r>
            <w:r>
              <w:rPr>
                <w:rFonts w:eastAsia="Calibri" w:cs="Arial"/>
                <w:color w:val="000000"/>
                <w:szCs w:val="24"/>
              </w:rPr>
              <w:t>Portfolio Holder for Community and Culture</w:t>
            </w:r>
          </w:p>
          <w:p w14:paraId="57118F80" w14:textId="77777777" w:rsidR="00E5297F" w:rsidRDefault="00E5297F" w:rsidP="00F55C47">
            <w:pPr>
              <w:rPr>
                <w:rFonts w:cs="Arial"/>
                <w:szCs w:val="24"/>
              </w:rPr>
            </w:pPr>
          </w:p>
          <w:p w14:paraId="57BAFC89" w14:textId="0270B46D" w:rsidR="00E5297F" w:rsidRPr="00DC2956" w:rsidRDefault="00E5297F" w:rsidP="00F55C47">
            <w:pPr>
              <w:rPr>
                <w:rFonts w:cs="Arial"/>
                <w:szCs w:val="24"/>
              </w:rPr>
            </w:pPr>
            <w:r>
              <w:rPr>
                <w:rFonts w:cs="Arial"/>
                <w:szCs w:val="24"/>
              </w:rPr>
              <w:t>Councillor David Ashton</w:t>
            </w:r>
            <w:r w:rsidR="00C537C0">
              <w:rPr>
                <w:rFonts w:cs="Arial"/>
                <w:szCs w:val="24"/>
              </w:rPr>
              <w:t xml:space="preserve"> - </w:t>
            </w:r>
            <w:r>
              <w:rPr>
                <w:rFonts w:cs="Arial"/>
                <w:szCs w:val="24"/>
              </w:rPr>
              <w:t>Portfolio Holder for Finance and Human Resources</w:t>
            </w:r>
          </w:p>
          <w:p w14:paraId="3B770835" w14:textId="77777777" w:rsidR="001C7E35" w:rsidRPr="00DC2956" w:rsidRDefault="001C7E35" w:rsidP="00D835CF">
            <w:pPr>
              <w:pStyle w:val="Infotext"/>
              <w:rPr>
                <w:rFonts w:cs="Arial"/>
                <w:color w:val="FF0000"/>
                <w:sz w:val="24"/>
                <w:szCs w:val="24"/>
              </w:rPr>
            </w:pPr>
          </w:p>
        </w:tc>
      </w:tr>
      <w:tr w:rsidR="001C7E35" w14:paraId="42CB4637" w14:textId="77777777" w:rsidTr="00DC2956">
        <w:tc>
          <w:tcPr>
            <w:tcW w:w="3456" w:type="dxa"/>
            <w:shd w:val="clear" w:color="auto" w:fill="FFFFFF"/>
          </w:tcPr>
          <w:p w14:paraId="12AA1F8C" w14:textId="77777777" w:rsidR="001C7E35" w:rsidRPr="00DC2956" w:rsidRDefault="001C7E35" w:rsidP="00DC2956">
            <w:pPr>
              <w:pStyle w:val="Infotext"/>
              <w:spacing w:after="240"/>
              <w:rPr>
                <w:rFonts w:ascii="Arial Black" w:hAnsi="Arial Black"/>
              </w:rPr>
            </w:pPr>
            <w:r w:rsidRPr="00DC2956">
              <w:rPr>
                <w:rFonts w:ascii="Arial Black" w:hAnsi="Arial Black"/>
              </w:rPr>
              <w:t>Exempt:</w:t>
            </w:r>
          </w:p>
        </w:tc>
        <w:tc>
          <w:tcPr>
            <w:tcW w:w="5054" w:type="dxa"/>
            <w:shd w:val="clear" w:color="auto" w:fill="FFFFFF"/>
          </w:tcPr>
          <w:p w14:paraId="5890B70D" w14:textId="59467037" w:rsidR="001C7E35" w:rsidRPr="00DC2956" w:rsidRDefault="001C7E35" w:rsidP="0054060A">
            <w:pPr>
              <w:pStyle w:val="Infotext"/>
              <w:rPr>
                <w:rFonts w:cs="Arial"/>
                <w:sz w:val="24"/>
                <w:szCs w:val="24"/>
              </w:rPr>
            </w:pPr>
            <w:r w:rsidRPr="00DC2956">
              <w:rPr>
                <w:rFonts w:cs="Arial"/>
                <w:sz w:val="24"/>
                <w:szCs w:val="24"/>
              </w:rPr>
              <w:t>No</w:t>
            </w:r>
          </w:p>
        </w:tc>
      </w:tr>
      <w:tr w:rsidR="001C7E35" w14:paraId="34C5869F" w14:textId="77777777" w:rsidTr="00DC2956">
        <w:tc>
          <w:tcPr>
            <w:tcW w:w="3456" w:type="dxa"/>
            <w:shd w:val="clear" w:color="auto" w:fill="FFFFFF"/>
          </w:tcPr>
          <w:p w14:paraId="0B517351" w14:textId="77777777" w:rsidR="001C7E35" w:rsidRPr="00DC2956" w:rsidRDefault="001C7E35" w:rsidP="00DC2956">
            <w:pPr>
              <w:pStyle w:val="Infotext"/>
              <w:spacing w:after="240"/>
              <w:rPr>
                <w:rFonts w:ascii="Arial Black" w:hAnsi="Arial Black"/>
              </w:rPr>
            </w:pPr>
            <w:r w:rsidRPr="00DC2956">
              <w:rPr>
                <w:rFonts w:ascii="Arial Black" w:hAnsi="Arial Black"/>
              </w:rPr>
              <w:t>Decision subject to Call-in:</w:t>
            </w:r>
          </w:p>
        </w:tc>
        <w:tc>
          <w:tcPr>
            <w:tcW w:w="5054" w:type="dxa"/>
            <w:shd w:val="clear" w:color="auto" w:fill="FFFFFF"/>
          </w:tcPr>
          <w:p w14:paraId="4EC19AE7" w14:textId="6EA875B6" w:rsidR="001C7E35" w:rsidRPr="00DC2956" w:rsidRDefault="00362C1D" w:rsidP="00D835CF">
            <w:pPr>
              <w:pStyle w:val="Infotext"/>
              <w:rPr>
                <w:rFonts w:cs="Arial"/>
                <w:sz w:val="24"/>
                <w:szCs w:val="24"/>
              </w:rPr>
            </w:pPr>
            <w:r>
              <w:rPr>
                <w:rFonts w:cs="Arial"/>
                <w:sz w:val="24"/>
                <w:szCs w:val="24"/>
              </w:rPr>
              <w:t>No as it is an information report.</w:t>
            </w:r>
          </w:p>
          <w:p w14:paraId="74607DC3" w14:textId="77777777" w:rsidR="00714BEE" w:rsidRPr="00DC2956" w:rsidRDefault="00714BEE" w:rsidP="00133036">
            <w:pPr>
              <w:rPr>
                <w:rFonts w:cs="Arial"/>
                <w:szCs w:val="24"/>
              </w:rPr>
            </w:pPr>
          </w:p>
        </w:tc>
      </w:tr>
      <w:tr w:rsidR="001C7E35" w14:paraId="0EDEBD7F" w14:textId="77777777" w:rsidTr="00DC2956">
        <w:tc>
          <w:tcPr>
            <w:tcW w:w="3456" w:type="dxa"/>
            <w:shd w:val="clear" w:color="auto" w:fill="FFFFFF"/>
          </w:tcPr>
          <w:p w14:paraId="18CA4114" w14:textId="77777777" w:rsidR="001C7E35" w:rsidRPr="00DC2956" w:rsidRDefault="001C7E35" w:rsidP="00DC2956">
            <w:pPr>
              <w:pStyle w:val="Infotext"/>
              <w:spacing w:after="240"/>
              <w:rPr>
                <w:rFonts w:ascii="Arial Black" w:hAnsi="Arial Black" w:cs="Arial"/>
              </w:rPr>
            </w:pPr>
            <w:r w:rsidRPr="00DC2956">
              <w:rPr>
                <w:rFonts w:ascii="Arial Black" w:hAnsi="Arial Black" w:cs="Arial"/>
              </w:rPr>
              <w:t>Wards affected:</w:t>
            </w:r>
          </w:p>
        </w:tc>
        <w:tc>
          <w:tcPr>
            <w:tcW w:w="5054" w:type="dxa"/>
            <w:shd w:val="clear" w:color="auto" w:fill="FFFFFF"/>
          </w:tcPr>
          <w:p w14:paraId="222F6267" w14:textId="77777777" w:rsidR="00307F76" w:rsidRPr="00DC2956" w:rsidRDefault="00F527B1" w:rsidP="00D835CF">
            <w:pPr>
              <w:rPr>
                <w:rFonts w:cs="Arial"/>
                <w:b/>
                <w:color w:val="FF0000"/>
                <w:szCs w:val="24"/>
              </w:rPr>
            </w:pPr>
            <w:r w:rsidRPr="00DC2956">
              <w:rPr>
                <w:rFonts w:cs="Arial"/>
                <w:szCs w:val="24"/>
              </w:rPr>
              <w:t xml:space="preserve">All </w:t>
            </w:r>
          </w:p>
        </w:tc>
      </w:tr>
      <w:tr w:rsidR="001C7E35" w14:paraId="1E53639C" w14:textId="77777777" w:rsidTr="00DC2956">
        <w:tc>
          <w:tcPr>
            <w:tcW w:w="3456" w:type="dxa"/>
            <w:shd w:val="clear" w:color="auto" w:fill="FFFFFF"/>
          </w:tcPr>
          <w:p w14:paraId="12186DD5" w14:textId="77777777" w:rsidR="001C7E35" w:rsidRPr="00DC2956" w:rsidRDefault="001C7E35" w:rsidP="00DC2956">
            <w:pPr>
              <w:pStyle w:val="Infotext"/>
              <w:spacing w:after="240"/>
              <w:rPr>
                <w:rFonts w:ascii="Arial Black" w:hAnsi="Arial Black" w:cs="Arial"/>
              </w:rPr>
            </w:pPr>
            <w:r w:rsidRPr="00DC2956">
              <w:rPr>
                <w:rFonts w:ascii="Arial Black" w:hAnsi="Arial Black" w:cs="Arial"/>
              </w:rPr>
              <w:t>Enclosures:</w:t>
            </w:r>
          </w:p>
        </w:tc>
        <w:tc>
          <w:tcPr>
            <w:tcW w:w="5054" w:type="dxa"/>
            <w:shd w:val="clear" w:color="auto" w:fill="FFFFFF"/>
          </w:tcPr>
          <w:p w14:paraId="4D3755B2" w14:textId="3867967E" w:rsidR="00016455" w:rsidRDefault="00016455" w:rsidP="00B73BC2">
            <w:pPr>
              <w:rPr>
                <w:rFonts w:cs="Arial"/>
                <w:szCs w:val="24"/>
              </w:rPr>
            </w:pPr>
            <w:r>
              <w:rPr>
                <w:rFonts w:cs="Arial"/>
                <w:szCs w:val="24"/>
              </w:rPr>
              <w:t>Appendix 1: Equalities Impact Assessment</w:t>
            </w:r>
          </w:p>
          <w:p w14:paraId="31C66105" w14:textId="77777777" w:rsidR="00016455" w:rsidRDefault="00016455" w:rsidP="00B73BC2">
            <w:pPr>
              <w:rPr>
                <w:rFonts w:cs="Arial"/>
                <w:szCs w:val="24"/>
              </w:rPr>
            </w:pPr>
          </w:p>
          <w:p w14:paraId="4E3A3CCD" w14:textId="61DE8CA4" w:rsidR="00B73BC2" w:rsidRDefault="00941592" w:rsidP="00B73BC2">
            <w:pPr>
              <w:rPr>
                <w:rFonts w:cs="Arial"/>
                <w:szCs w:val="24"/>
              </w:rPr>
            </w:pPr>
            <w:r>
              <w:rPr>
                <w:rFonts w:cs="Arial"/>
                <w:szCs w:val="24"/>
              </w:rPr>
              <w:t xml:space="preserve">Appendix </w:t>
            </w:r>
            <w:r w:rsidR="00016455">
              <w:rPr>
                <w:rFonts w:cs="Arial"/>
                <w:szCs w:val="24"/>
              </w:rPr>
              <w:t>2</w:t>
            </w:r>
            <w:r>
              <w:rPr>
                <w:rFonts w:cs="Arial"/>
                <w:szCs w:val="24"/>
              </w:rPr>
              <w:t xml:space="preserve">: Results of the Public Consultation </w:t>
            </w:r>
            <w:r w:rsidR="007B4ED6">
              <w:rPr>
                <w:rFonts w:cs="Arial"/>
                <w:szCs w:val="24"/>
              </w:rPr>
              <w:t xml:space="preserve">Questionnaire </w:t>
            </w:r>
            <w:r>
              <w:rPr>
                <w:rFonts w:cs="Arial"/>
                <w:szCs w:val="24"/>
              </w:rPr>
              <w:t>on Proposed Investment in Harrow’s Tennis Courts</w:t>
            </w:r>
          </w:p>
          <w:p w14:paraId="5B3015AF" w14:textId="5EBCAEB8" w:rsidR="009026CD" w:rsidRDefault="009026CD" w:rsidP="00B73BC2">
            <w:pPr>
              <w:rPr>
                <w:rFonts w:cs="Arial"/>
                <w:szCs w:val="24"/>
              </w:rPr>
            </w:pPr>
          </w:p>
          <w:p w14:paraId="0787A203" w14:textId="5AB73406" w:rsidR="009026CD" w:rsidRDefault="009026CD" w:rsidP="00B73BC2">
            <w:pPr>
              <w:rPr>
                <w:rFonts w:cs="Arial"/>
                <w:szCs w:val="24"/>
              </w:rPr>
            </w:pPr>
            <w:r>
              <w:rPr>
                <w:rFonts w:cs="Arial"/>
                <w:szCs w:val="24"/>
              </w:rPr>
              <w:t xml:space="preserve">Appendix </w:t>
            </w:r>
            <w:r w:rsidR="00016455">
              <w:rPr>
                <w:rFonts w:cs="Arial"/>
                <w:szCs w:val="24"/>
              </w:rPr>
              <w:t>3</w:t>
            </w:r>
            <w:r>
              <w:rPr>
                <w:rFonts w:cs="Arial"/>
                <w:szCs w:val="24"/>
              </w:rPr>
              <w:t xml:space="preserve">: </w:t>
            </w:r>
            <w:r w:rsidR="00BA78EA">
              <w:rPr>
                <w:rFonts w:cs="Arial"/>
                <w:szCs w:val="24"/>
              </w:rPr>
              <w:t>Public Consultation Feedback on Proposed Investment in Harrow’s Tennis Courts</w:t>
            </w:r>
          </w:p>
          <w:p w14:paraId="4153A1EC" w14:textId="4077A91C" w:rsidR="00A5152C" w:rsidRDefault="00A5152C" w:rsidP="00B73BC2">
            <w:pPr>
              <w:rPr>
                <w:rFonts w:cs="Arial"/>
                <w:szCs w:val="24"/>
              </w:rPr>
            </w:pPr>
          </w:p>
          <w:p w14:paraId="46A55D86" w14:textId="5101C322" w:rsidR="00A5152C" w:rsidRDefault="00A5152C" w:rsidP="00B73BC2">
            <w:pPr>
              <w:rPr>
                <w:rFonts w:cs="Arial"/>
                <w:szCs w:val="24"/>
              </w:rPr>
            </w:pPr>
            <w:bookmarkStart w:id="0" w:name="_Hlk116911552"/>
          </w:p>
          <w:p w14:paraId="4BA7C6F1" w14:textId="6DFBBF0E" w:rsidR="00A5152C" w:rsidRDefault="00A5152C" w:rsidP="00B73BC2">
            <w:pPr>
              <w:rPr>
                <w:rFonts w:cs="Arial"/>
                <w:szCs w:val="24"/>
              </w:rPr>
            </w:pPr>
          </w:p>
          <w:bookmarkEnd w:id="0"/>
          <w:p w14:paraId="406948A0" w14:textId="22140B8D" w:rsidR="00A5152C" w:rsidRDefault="00A5152C" w:rsidP="00B73BC2">
            <w:pPr>
              <w:rPr>
                <w:rFonts w:cs="Arial"/>
                <w:szCs w:val="24"/>
              </w:rPr>
            </w:pPr>
          </w:p>
          <w:p w14:paraId="760BE980" w14:textId="4209C611" w:rsidR="00A5152C" w:rsidRDefault="00A5152C" w:rsidP="00B73BC2">
            <w:pPr>
              <w:rPr>
                <w:rFonts w:cs="Arial"/>
                <w:szCs w:val="24"/>
              </w:rPr>
            </w:pPr>
          </w:p>
          <w:p w14:paraId="0C0049AE" w14:textId="021740FA" w:rsidR="00A5152C" w:rsidRDefault="00A5152C" w:rsidP="00B73BC2">
            <w:pPr>
              <w:rPr>
                <w:rFonts w:cs="Arial"/>
                <w:szCs w:val="24"/>
              </w:rPr>
            </w:pPr>
          </w:p>
          <w:p w14:paraId="5124631A" w14:textId="77777777" w:rsidR="00A5152C" w:rsidRPr="00DC2956" w:rsidRDefault="00A5152C" w:rsidP="00B73BC2">
            <w:pPr>
              <w:rPr>
                <w:rFonts w:cs="Arial"/>
                <w:szCs w:val="24"/>
              </w:rPr>
            </w:pPr>
          </w:p>
          <w:p w14:paraId="2B3B55B2" w14:textId="77777777" w:rsidR="001C7E35" w:rsidRPr="00DC2956" w:rsidRDefault="001C7E35" w:rsidP="00DB6C3D">
            <w:pPr>
              <w:pStyle w:val="Infotext"/>
              <w:rPr>
                <w:color w:val="FF0000"/>
                <w:sz w:val="24"/>
                <w:szCs w:val="24"/>
              </w:rPr>
            </w:pPr>
          </w:p>
        </w:tc>
      </w:tr>
    </w:tbl>
    <w:p w14:paraId="00211844" w14:textId="41B56987" w:rsidR="00097F29" w:rsidRDefault="00DD7A27" w:rsidP="00C869F3">
      <w:pPr>
        <w:spacing w:after="480"/>
        <w:rPr>
          <w:rFonts w:cs="Arial"/>
        </w:rPr>
      </w:pPr>
      <w:r>
        <w:rPr>
          <w:rFonts w:cs="Arial"/>
        </w:rPr>
        <w:tab/>
      </w:r>
      <w:r>
        <w:rPr>
          <w:rFonts w:cs="Arial"/>
        </w:rPr>
        <w:tab/>
      </w:r>
      <w:r>
        <w:rPr>
          <w:rFonts w:cs="Arial"/>
        </w:rPr>
        <w:tab/>
      </w:r>
      <w:r>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5F9A6C1F" w14:textId="77777777" w:rsidTr="00221A93">
        <w:trPr>
          <w:tblHeader/>
        </w:trPr>
        <w:tc>
          <w:tcPr>
            <w:tcW w:w="8525" w:type="dxa"/>
            <w:tcBorders>
              <w:top w:val="nil"/>
              <w:left w:val="nil"/>
              <w:right w:val="nil"/>
            </w:tcBorders>
          </w:tcPr>
          <w:p w14:paraId="32040757" w14:textId="77777777" w:rsidR="00333FAA" w:rsidRDefault="00333FAA" w:rsidP="00605A4C">
            <w:pPr>
              <w:pStyle w:val="Heading2"/>
              <w:spacing w:after="240"/>
            </w:pPr>
            <w:r>
              <w:lastRenderedPageBreak/>
              <w:t>Section 1 – Summary and Recommendations</w:t>
            </w:r>
          </w:p>
        </w:tc>
      </w:tr>
      <w:tr w:rsidR="00333FAA" w14:paraId="6EA93108" w14:textId="77777777" w:rsidTr="00221A93">
        <w:trPr>
          <w:tblHeader/>
        </w:trPr>
        <w:tc>
          <w:tcPr>
            <w:tcW w:w="8525" w:type="dxa"/>
          </w:tcPr>
          <w:p w14:paraId="4232C118" w14:textId="64E921E2" w:rsidR="001C7E35" w:rsidRPr="00362C1D" w:rsidRDefault="00D77906" w:rsidP="00605A4C">
            <w:pPr>
              <w:rPr>
                <w:color w:val="000000"/>
                <w:szCs w:val="24"/>
              </w:rPr>
            </w:pPr>
            <w:r w:rsidRPr="00362C1D">
              <w:rPr>
                <w:color w:val="000000"/>
                <w:szCs w:val="24"/>
              </w:rPr>
              <w:t xml:space="preserve">This report </w:t>
            </w:r>
            <w:r w:rsidR="00F1233A" w:rsidRPr="00362C1D">
              <w:rPr>
                <w:color w:val="000000"/>
                <w:szCs w:val="24"/>
              </w:rPr>
              <w:t xml:space="preserve">offers an update on the continuation of the proposed investment into Harrow’s tennis courts </w:t>
            </w:r>
            <w:r w:rsidR="00446803" w:rsidRPr="00362C1D">
              <w:rPr>
                <w:color w:val="000000"/>
                <w:szCs w:val="24"/>
              </w:rPr>
              <w:t xml:space="preserve">and procurement of an operator to manage the courts following the results of the public consultation on the proposals. </w:t>
            </w:r>
          </w:p>
          <w:p w14:paraId="30269BC6" w14:textId="77777777" w:rsidR="001C7E35" w:rsidRPr="00362C1D" w:rsidRDefault="00605A4C" w:rsidP="00E13BEF">
            <w:pPr>
              <w:pStyle w:val="Heading3"/>
              <w:spacing w:before="240"/>
            </w:pPr>
            <w:r w:rsidRPr="00362C1D">
              <w:t>Recommen</w:t>
            </w:r>
            <w:r w:rsidR="001C7E35" w:rsidRPr="00362C1D">
              <w:t xml:space="preserve">dations: </w:t>
            </w:r>
          </w:p>
          <w:p w14:paraId="3B3DA99F" w14:textId="32F7C724" w:rsidR="00E51F29" w:rsidRPr="00CC4C07" w:rsidRDefault="00E51F29" w:rsidP="006625C8">
            <w:pPr>
              <w:rPr>
                <w:rFonts w:eastAsia="Calibri"/>
                <w:sz w:val="22"/>
                <w:szCs w:val="22"/>
              </w:rPr>
            </w:pPr>
          </w:p>
          <w:p w14:paraId="669F8D36" w14:textId="77777777" w:rsidR="006625C8" w:rsidRPr="00C537C0" w:rsidRDefault="006625C8" w:rsidP="006625C8">
            <w:pPr>
              <w:rPr>
                <w:szCs w:val="24"/>
              </w:rPr>
            </w:pPr>
            <w:r w:rsidRPr="00C537C0">
              <w:rPr>
                <w:szCs w:val="24"/>
              </w:rPr>
              <w:t>Cabinet is requested to:</w:t>
            </w:r>
          </w:p>
          <w:p w14:paraId="11F9485B" w14:textId="77777777" w:rsidR="006625C8" w:rsidRPr="00C537C0" w:rsidRDefault="006625C8" w:rsidP="006625C8">
            <w:pPr>
              <w:rPr>
                <w:szCs w:val="24"/>
              </w:rPr>
            </w:pPr>
          </w:p>
          <w:p w14:paraId="23598894" w14:textId="294E1386" w:rsidR="006625C8" w:rsidRPr="00C537C0" w:rsidRDefault="006625C8" w:rsidP="00820F38">
            <w:pPr>
              <w:pStyle w:val="ListParagraph"/>
              <w:numPr>
                <w:ilvl w:val="0"/>
                <w:numId w:val="24"/>
              </w:numPr>
              <w:rPr>
                <w:rFonts w:eastAsia="Calibri"/>
                <w:szCs w:val="24"/>
              </w:rPr>
            </w:pPr>
            <w:r w:rsidRPr="00C537C0">
              <w:rPr>
                <w:rFonts w:eastAsia="Calibri"/>
                <w:szCs w:val="24"/>
              </w:rPr>
              <w:t>Note the final outcome of the public consultation which followed the ‘Investment in</w:t>
            </w:r>
            <w:r w:rsidR="00885BAE" w:rsidRPr="00C537C0">
              <w:rPr>
                <w:rFonts w:eastAsia="Calibri"/>
                <w:szCs w:val="24"/>
              </w:rPr>
              <w:t>to</w:t>
            </w:r>
            <w:r w:rsidRPr="00C537C0">
              <w:rPr>
                <w:rFonts w:eastAsia="Calibri"/>
                <w:szCs w:val="24"/>
              </w:rPr>
              <w:t xml:space="preserve"> Harrow’s Tennis Infrastructure’ Cabinet Report of June 2022</w:t>
            </w:r>
            <w:r w:rsidR="00C537C0">
              <w:rPr>
                <w:rFonts w:eastAsia="Calibri"/>
                <w:szCs w:val="24"/>
              </w:rPr>
              <w:t>.</w:t>
            </w:r>
          </w:p>
          <w:p w14:paraId="3CD94E1D" w14:textId="77777777" w:rsidR="006625C8" w:rsidRPr="00CC4C07" w:rsidRDefault="006625C8" w:rsidP="006625C8">
            <w:pPr>
              <w:rPr>
                <w:rFonts w:eastAsia="Calibri"/>
                <w:sz w:val="22"/>
                <w:szCs w:val="22"/>
              </w:rPr>
            </w:pPr>
          </w:p>
          <w:p w14:paraId="2C44545D" w14:textId="77777777" w:rsidR="00111C1A" w:rsidRPr="00362C1D" w:rsidRDefault="00E13BEF" w:rsidP="00E13BEF">
            <w:pPr>
              <w:pStyle w:val="Heading3"/>
              <w:ind w:left="0" w:firstLine="0"/>
              <w:jc w:val="left"/>
            </w:pPr>
            <w:r w:rsidRPr="00362C1D">
              <w:t>Reason: (f</w:t>
            </w:r>
            <w:r w:rsidR="001C7E35" w:rsidRPr="00362C1D">
              <w:t>or recommendation</w:t>
            </w:r>
            <w:r w:rsidR="00714BEE" w:rsidRPr="00362C1D">
              <w:t>s</w:t>
            </w:r>
            <w:r w:rsidR="001C7E35" w:rsidRPr="00362C1D">
              <w:t>)</w:t>
            </w:r>
            <w:r w:rsidR="00F91AE4" w:rsidRPr="00362C1D">
              <w:t xml:space="preserve"> </w:t>
            </w:r>
          </w:p>
          <w:p w14:paraId="4FEC601E" w14:textId="21318EDA" w:rsidR="00E85750" w:rsidRPr="00362C1D" w:rsidRDefault="004A66DB" w:rsidP="00605A4C">
            <w:pPr>
              <w:rPr>
                <w:szCs w:val="24"/>
              </w:rPr>
            </w:pPr>
            <w:r w:rsidRPr="00362C1D">
              <w:rPr>
                <w:szCs w:val="24"/>
              </w:rPr>
              <w:t>Cabinet in June 2022</w:t>
            </w:r>
            <w:r w:rsidR="00734293" w:rsidRPr="00362C1D">
              <w:rPr>
                <w:szCs w:val="24"/>
              </w:rPr>
              <w:t xml:space="preserve"> agreed </w:t>
            </w:r>
            <w:r w:rsidR="00370770" w:rsidRPr="00362C1D">
              <w:rPr>
                <w:szCs w:val="24"/>
              </w:rPr>
              <w:t xml:space="preserve">that </w:t>
            </w:r>
            <w:r w:rsidR="00734293" w:rsidRPr="00362C1D">
              <w:rPr>
                <w:szCs w:val="24"/>
              </w:rPr>
              <w:t xml:space="preserve">a consultation strategy </w:t>
            </w:r>
            <w:r w:rsidR="00370770" w:rsidRPr="00362C1D">
              <w:rPr>
                <w:szCs w:val="24"/>
              </w:rPr>
              <w:t xml:space="preserve">would be developed </w:t>
            </w:r>
            <w:r w:rsidR="00734293" w:rsidRPr="00362C1D">
              <w:rPr>
                <w:szCs w:val="24"/>
              </w:rPr>
              <w:t xml:space="preserve">in relation to the renovation of the courts. </w:t>
            </w:r>
            <w:r w:rsidR="00761F0E" w:rsidRPr="00362C1D">
              <w:rPr>
                <w:szCs w:val="24"/>
              </w:rPr>
              <w:t>The consultation on Investment in</w:t>
            </w:r>
            <w:r w:rsidR="00885BAE" w:rsidRPr="00362C1D">
              <w:rPr>
                <w:szCs w:val="24"/>
              </w:rPr>
              <w:t>to</w:t>
            </w:r>
            <w:r w:rsidR="00761F0E" w:rsidRPr="00362C1D">
              <w:rPr>
                <w:szCs w:val="24"/>
              </w:rPr>
              <w:t xml:space="preserve"> Harrow’s Tennis </w:t>
            </w:r>
            <w:r w:rsidRPr="00362C1D">
              <w:rPr>
                <w:szCs w:val="24"/>
              </w:rPr>
              <w:t>Infrastructure</w:t>
            </w:r>
            <w:r w:rsidR="00761F0E" w:rsidRPr="00362C1D">
              <w:rPr>
                <w:szCs w:val="24"/>
              </w:rPr>
              <w:t xml:space="preserve"> showed a majority in favour of Harrow Council entering into an agreement with the Lawn Tennis Association to access capital funding to renovate Harrow’s tennis courts.  </w:t>
            </w:r>
          </w:p>
          <w:p w14:paraId="49B98ED4" w14:textId="401DBD1A" w:rsidR="00E85750" w:rsidRDefault="00E85750" w:rsidP="00605A4C"/>
        </w:tc>
      </w:tr>
    </w:tbl>
    <w:p w14:paraId="6BCAEDD3" w14:textId="7AD79214" w:rsidR="00333FAA" w:rsidRDefault="00333FAA" w:rsidP="00F06E4E">
      <w:pPr>
        <w:pStyle w:val="Heading2"/>
        <w:spacing w:before="480"/>
      </w:pPr>
      <w:r>
        <w:t>Section 2 – Report</w:t>
      </w:r>
    </w:p>
    <w:p w14:paraId="6312A379" w14:textId="77777777" w:rsidR="00CC5BE9" w:rsidRDefault="00CC5BE9" w:rsidP="00800EB5">
      <w:pPr>
        <w:pStyle w:val="Heading3"/>
        <w:numPr>
          <w:ilvl w:val="0"/>
          <w:numId w:val="2"/>
        </w:numPr>
        <w:spacing w:before="240"/>
      </w:pPr>
      <w:r>
        <w:t>Introduction</w:t>
      </w:r>
    </w:p>
    <w:p w14:paraId="5D16417B" w14:textId="77777777" w:rsidR="00CC5BE9" w:rsidRDefault="00CC5BE9" w:rsidP="001C7E35"/>
    <w:p w14:paraId="39DAF46F" w14:textId="24E313EE" w:rsidR="001C7E35" w:rsidRDefault="008C2981" w:rsidP="00800EB5">
      <w:pPr>
        <w:numPr>
          <w:ilvl w:val="1"/>
          <w:numId w:val="2"/>
        </w:numPr>
      </w:pPr>
      <w:r>
        <w:t>This report sets out the details of the public consultation undertaken on the tennis investment proposals as detailed in the Cabinet report and appendices of 23</w:t>
      </w:r>
      <w:r w:rsidRPr="008840C5">
        <w:rPr>
          <w:vertAlign w:val="superscript"/>
        </w:rPr>
        <w:t>rd</w:t>
      </w:r>
      <w:r>
        <w:t xml:space="preserve"> June 2022 (Investment in</w:t>
      </w:r>
      <w:r w:rsidR="00885BAE">
        <w:t>to</w:t>
      </w:r>
      <w:r>
        <w:t xml:space="preserve"> Harrow’s Tennis Infrastructure). </w:t>
      </w:r>
    </w:p>
    <w:p w14:paraId="7020815D" w14:textId="77777777" w:rsidR="00183C06" w:rsidRDefault="00183C06" w:rsidP="00183C06">
      <w:pPr>
        <w:ind w:left="1080"/>
      </w:pPr>
    </w:p>
    <w:p w14:paraId="62EE4B3A" w14:textId="2FFC1BBE" w:rsidR="00477E5B" w:rsidRDefault="000B4192" w:rsidP="00477E5B">
      <w:pPr>
        <w:numPr>
          <w:ilvl w:val="1"/>
          <w:numId w:val="2"/>
        </w:numPr>
      </w:pPr>
      <w:r>
        <w:t xml:space="preserve"> Following the results of the public consultation it is proposed to </w:t>
      </w:r>
      <w:r w:rsidR="001533AF">
        <w:t>proceed with entering into a funding agreement with the Lawn Tennis Association (LTA) to renovate tennis courts in Harrow’s parks and the procurement of an operator to manage the courts</w:t>
      </w:r>
      <w:r w:rsidR="00B53C97">
        <w:t xml:space="preserve"> as detailed in the Cabinet report of June 2022</w:t>
      </w:r>
      <w:r w:rsidR="001533AF">
        <w:t xml:space="preserve">. </w:t>
      </w:r>
      <w:r w:rsidR="00477E5B">
        <w:t xml:space="preserve">The tender process will be informed by the </w:t>
      </w:r>
      <w:r w:rsidR="00927317">
        <w:t>c</w:t>
      </w:r>
      <w:r w:rsidR="00477E5B">
        <w:t xml:space="preserve">onsultation. </w:t>
      </w:r>
    </w:p>
    <w:p w14:paraId="1FE01D9E" w14:textId="49B08750" w:rsidR="009D67C8" w:rsidRDefault="00382315" w:rsidP="00800EB5">
      <w:pPr>
        <w:pStyle w:val="Heading3"/>
        <w:numPr>
          <w:ilvl w:val="0"/>
          <w:numId w:val="2"/>
        </w:numPr>
        <w:spacing w:before="240"/>
        <w:jc w:val="left"/>
      </w:pPr>
      <w:r>
        <w:t>Background</w:t>
      </w:r>
    </w:p>
    <w:p w14:paraId="73DD0153" w14:textId="77777777" w:rsidR="005346ED" w:rsidRDefault="005346ED" w:rsidP="00A97C96"/>
    <w:p w14:paraId="7C9D9E2D" w14:textId="6F16FB52" w:rsidR="00183C06" w:rsidRDefault="005C0E1C" w:rsidP="00800EB5">
      <w:pPr>
        <w:pStyle w:val="ListParagraph"/>
        <w:numPr>
          <w:ilvl w:val="1"/>
          <w:numId w:val="2"/>
        </w:numPr>
      </w:pPr>
      <w:r>
        <w:t>From the 1</w:t>
      </w:r>
      <w:r w:rsidRPr="00E90A8C">
        <w:rPr>
          <w:vertAlign w:val="superscript"/>
        </w:rPr>
        <w:t xml:space="preserve">st </w:t>
      </w:r>
      <w:r>
        <w:t xml:space="preserve">April 2022 local Authorities are able to apply for capital funding from the LTA and Department Digital, Culture, Media and Sport (DCMS) Renovation Fund to renovate tennis courts in parks. The funding is to repair and resurface the courts, repair fencing, and to install gate access technology. The funding programme also enables the introduction of an online booking system. </w:t>
      </w:r>
      <w:r w:rsidR="00BF73EB">
        <w:t>Whilst the LTA do not require local authorities to introduce hire charges for using the courts, l</w:t>
      </w:r>
      <w:r>
        <w:t xml:space="preserve">ocal authorities </w:t>
      </w:r>
      <w:r w:rsidR="00BF73EB">
        <w:t xml:space="preserve">do </w:t>
      </w:r>
      <w:r>
        <w:t>need to confirm their agreement to fund a sinking fund</w:t>
      </w:r>
      <w:r w:rsidR="00BF73EB">
        <w:t xml:space="preserve"> and </w:t>
      </w:r>
      <w:r>
        <w:t xml:space="preserve">ongoing maintenance costs, as well as the ongoing costs associated with the access gates. </w:t>
      </w:r>
    </w:p>
    <w:p w14:paraId="24F9B67C" w14:textId="77777777" w:rsidR="00E90A8C" w:rsidRDefault="00E90A8C" w:rsidP="00E90A8C"/>
    <w:p w14:paraId="7C25BC4F" w14:textId="2F119145" w:rsidR="005346ED" w:rsidRDefault="00A97C96" w:rsidP="00800EB5">
      <w:pPr>
        <w:pStyle w:val="ListParagraph"/>
        <w:numPr>
          <w:ilvl w:val="1"/>
          <w:numId w:val="2"/>
        </w:numPr>
      </w:pPr>
      <w:r>
        <w:lastRenderedPageBreak/>
        <w:t xml:space="preserve">An assessment of the public tennis courts in </w:t>
      </w:r>
      <w:r w:rsidR="00723486">
        <w:t>all</w:t>
      </w:r>
      <w:r>
        <w:t xml:space="preserve"> the Harrow’s parks by the LTA identified that the majority of the courts were either in an unplayable, very poor, or poor condition. The only parks where the tennis courts were identified as being in a good or very good condition were Pinner Village Gardens, Rayners Mead, and West Harrow Recreation Ground.</w:t>
      </w:r>
    </w:p>
    <w:p w14:paraId="2FDD8A70" w14:textId="77777777" w:rsidR="005C2B48" w:rsidRDefault="005C2B48" w:rsidP="005C2B48">
      <w:pPr>
        <w:pStyle w:val="ListParagraph"/>
      </w:pPr>
    </w:p>
    <w:p w14:paraId="123E22FC" w14:textId="1778EE07" w:rsidR="00941592" w:rsidRDefault="0004677F" w:rsidP="00800EB5">
      <w:pPr>
        <w:pStyle w:val="ListParagraph"/>
        <w:numPr>
          <w:ilvl w:val="1"/>
          <w:numId w:val="2"/>
        </w:numPr>
      </w:pPr>
      <w:r>
        <w:t xml:space="preserve">In June 2022 Cabinet approved the entering into a funding agreement with the LTA for grant funding to fund the renovation of </w:t>
      </w:r>
      <w:r w:rsidR="00B22561">
        <w:t xml:space="preserve">37 </w:t>
      </w:r>
      <w:r>
        <w:t>tennis courts in Harrow’s parks</w:t>
      </w:r>
      <w:r w:rsidR="0096132B">
        <w:t xml:space="preserve">. The LTA’s Renovation Fund application process is in two stages. As detailed in the Cabinet Report of June 2022 the LTA has approved Harrow’s Stage 1 application for this funding with the estimated costs for the renovations work to Harrow’s courts being £445,675. </w:t>
      </w:r>
      <w:r w:rsidR="009F53A7">
        <w:t>The June 2022 Cabinet Report also proposed the introduction of a pricing strategy to</w:t>
      </w:r>
      <w:r w:rsidR="009F53A7" w:rsidRPr="00E90A8C">
        <w:rPr>
          <w:szCs w:val="24"/>
        </w:rPr>
        <w:t xml:space="preserve"> ensure that the tennis courts could be maintained to a good standard and are financially sustainable in the long term. This would include pay and play sessions with the income generated being reinvested into maintaining the courts including a sinking fund.</w:t>
      </w:r>
      <w:r w:rsidR="00E90A8C" w:rsidRPr="00E90A8C">
        <w:rPr>
          <w:szCs w:val="24"/>
        </w:rPr>
        <w:t xml:space="preserve"> </w:t>
      </w:r>
      <w:r w:rsidR="00E90A8C">
        <w:t xml:space="preserve">In local authorities that have already implemented a charging policy as well as gate access and a booking system the results have been very positive. In the London Borough of Richmond </w:t>
      </w:r>
      <w:r w:rsidR="00324FB5">
        <w:t>Upon</w:t>
      </w:r>
      <w:r w:rsidR="00E90A8C">
        <w:t xml:space="preserve"> Thames and the London Borough of Brent, for example, where all the tennis courts have been gated there has been a very high usage of the courts. </w:t>
      </w:r>
      <w:r w:rsidR="0096132B">
        <w:t>Cabinet also approved</w:t>
      </w:r>
      <w:r>
        <w:t xml:space="preserve"> the procurement of an operator to manage the refurbished tennis courts. </w:t>
      </w:r>
      <w:r w:rsidR="0096132B">
        <w:t xml:space="preserve">In addition, </w:t>
      </w:r>
      <w:r>
        <w:t xml:space="preserve">Cabinet approved the development of a consultation strategy in relation to the renovation </w:t>
      </w:r>
      <w:r w:rsidR="00941592">
        <w:t xml:space="preserve">and management </w:t>
      </w:r>
      <w:r>
        <w:t>of the courts</w:t>
      </w:r>
      <w:r w:rsidR="0096132B">
        <w:t>.</w:t>
      </w:r>
      <w:r w:rsidR="00E90A8C">
        <w:t xml:space="preserve"> </w:t>
      </w:r>
    </w:p>
    <w:p w14:paraId="74D0E5C6" w14:textId="77777777" w:rsidR="00941592" w:rsidRDefault="00941592" w:rsidP="00941592">
      <w:pPr>
        <w:pStyle w:val="ListParagraph"/>
      </w:pPr>
    </w:p>
    <w:p w14:paraId="2FAD0A92" w14:textId="1B9782D1" w:rsidR="0004677F" w:rsidRPr="00941592" w:rsidRDefault="00941592" w:rsidP="00800EB5">
      <w:pPr>
        <w:pStyle w:val="ListParagraph"/>
        <w:numPr>
          <w:ilvl w:val="0"/>
          <w:numId w:val="2"/>
        </w:numPr>
        <w:rPr>
          <w:b/>
          <w:bCs/>
        </w:rPr>
      </w:pPr>
      <w:r>
        <w:rPr>
          <w:b/>
          <w:bCs/>
          <w:sz w:val="28"/>
          <w:szCs w:val="28"/>
        </w:rPr>
        <w:t>Current Situation</w:t>
      </w:r>
    </w:p>
    <w:p w14:paraId="233C2C9F" w14:textId="62CACA48" w:rsidR="0005693B" w:rsidRDefault="0005693B" w:rsidP="009D67C8"/>
    <w:p w14:paraId="295E3FA8" w14:textId="47D610E1" w:rsidR="007F17D2" w:rsidRDefault="0004677F" w:rsidP="00800EB5">
      <w:pPr>
        <w:pStyle w:val="ListParagraph"/>
        <w:numPr>
          <w:ilvl w:val="1"/>
          <w:numId w:val="2"/>
        </w:numPr>
      </w:pPr>
      <w:r>
        <w:t>A public consultation was undertaken on the investment in the tennis courts from the 1</w:t>
      </w:r>
      <w:r w:rsidR="007F17D2">
        <w:t>8</w:t>
      </w:r>
      <w:r w:rsidRPr="00941592">
        <w:rPr>
          <w:vertAlign w:val="superscript"/>
        </w:rPr>
        <w:t>th</w:t>
      </w:r>
      <w:r>
        <w:t xml:space="preserve"> August 2022 to </w:t>
      </w:r>
      <w:r w:rsidR="000A29ED">
        <w:t>2</w:t>
      </w:r>
      <w:r w:rsidR="00452532">
        <w:t>7</w:t>
      </w:r>
      <w:r w:rsidR="000A29ED" w:rsidRPr="00941592">
        <w:rPr>
          <w:vertAlign w:val="superscript"/>
        </w:rPr>
        <w:t>th</w:t>
      </w:r>
      <w:r w:rsidR="000A29ED">
        <w:t xml:space="preserve"> September 2022</w:t>
      </w:r>
      <w:r w:rsidR="00941592">
        <w:t xml:space="preserve">. </w:t>
      </w:r>
      <w:r w:rsidR="007B4ED6">
        <w:t xml:space="preserve">The consultation sought feedback from residents on the proposals via an online public consultation questionnaire. </w:t>
      </w:r>
      <w:r w:rsidR="007F17D2">
        <w:t xml:space="preserve">The online questionnaire was drafted with advice from the LTA, and </w:t>
      </w:r>
      <w:r w:rsidR="00370770">
        <w:t>further amendments</w:t>
      </w:r>
      <w:r w:rsidR="007F17D2">
        <w:t xml:space="preserve"> were made following consultation with </w:t>
      </w:r>
      <w:r w:rsidR="008B3FCF">
        <w:t>members of Harrow Park User Groups</w:t>
      </w:r>
      <w:r w:rsidR="007F17D2">
        <w:t xml:space="preserve">. The questionnaire was hosted on Harrow Council’s </w:t>
      </w:r>
      <w:r w:rsidR="00F52AEE">
        <w:t>website and could be accessed from links from several pages within the council’s leisure pages. It was also added to the Council’s consultation portal. Questions established current usage including which courts were used, by who</w:t>
      </w:r>
      <w:r w:rsidR="003F24F2">
        <w:t>m</w:t>
      </w:r>
      <w:r w:rsidR="00F52AEE">
        <w:t xml:space="preserve"> and frequency. Questions also asked about user awareness of the existence and condition of public tennis courts in Harrow. Respondents were asked whether they supported fees if it meant the tennis courts would be improved and also a tolerance level for what the fees should be. Questions also ascertained who should receive concessions, whether free coaching sessions and access to equipment would be welcomed, and at what time/day they would be most appropriate. There was also an open box for people to add their comments.</w:t>
      </w:r>
      <w:r w:rsidR="00936C00">
        <w:t xml:space="preserve"> A supporting webpage was created which set out the background of the Lawn Tennis Association application, the current state of tennis courts as assessed by the LTA, FAQs, and details of engagement events. The page received 1707 hits during the consultation period.</w:t>
      </w:r>
    </w:p>
    <w:p w14:paraId="32DA1D2D" w14:textId="77777777" w:rsidR="007F17D2" w:rsidRDefault="007F17D2" w:rsidP="007F17D2">
      <w:pPr>
        <w:ind w:left="720"/>
      </w:pPr>
    </w:p>
    <w:p w14:paraId="1CB8DE16" w14:textId="2AB7094C" w:rsidR="00F62777" w:rsidRPr="00936C00" w:rsidRDefault="00936C00" w:rsidP="00800EB5">
      <w:pPr>
        <w:pStyle w:val="ListParagraph"/>
        <w:numPr>
          <w:ilvl w:val="1"/>
          <w:numId w:val="2"/>
        </w:numPr>
        <w:rPr>
          <w:color w:val="000000" w:themeColor="text1"/>
        </w:rPr>
      </w:pPr>
      <w:r>
        <w:lastRenderedPageBreak/>
        <w:t>An A5 leaflet was produced to promote the consultation, containing a QR code link and the web address, as well as the closing date. P</w:t>
      </w:r>
      <w:r w:rsidR="005D188A">
        <w:t>osters</w:t>
      </w:r>
      <w:r>
        <w:t xml:space="preserve"> were</w:t>
      </w:r>
      <w:r w:rsidR="005D188A">
        <w:t xml:space="preserve"> </w:t>
      </w:r>
      <w:r>
        <w:t xml:space="preserve">placed </w:t>
      </w:r>
      <w:r w:rsidR="00FD47B5">
        <w:t>i</w:t>
      </w:r>
      <w:r w:rsidR="005D188A">
        <w:t xml:space="preserve">n parks and leaflets circulated to </w:t>
      </w:r>
      <w:r w:rsidR="00C94C66">
        <w:t xml:space="preserve">sites including </w:t>
      </w:r>
      <w:r w:rsidR="005D188A">
        <w:t xml:space="preserve">libraries, leisure centres, Harrow Arts </w:t>
      </w:r>
      <w:r w:rsidR="00C94C66">
        <w:t>Centre, and Headstone Manor and Museum.</w:t>
      </w:r>
      <w:r w:rsidR="004C591D" w:rsidRPr="00936C00">
        <w:rPr>
          <w:color w:val="FF0000"/>
        </w:rPr>
        <w:t xml:space="preserve"> </w:t>
      </w:r>
      <w:r>
        <w:rPr>
          <w:color w:val="000000" w:themeColor="text1"/>
        </w:rPr>
        <w:t>Four events were held across the borough during the six-week period. These were as follows:</w:t>
      </w:r>
    </w:p>
    <w:p w14:paraId="02E492EF" w14:textId="567AAFAD" w:rsidR="00F62777" w:rsidRDefault="00F62777" w:rsidP="00F62777"/>
    <w:tbl>
      <w:tblPr>
        <w:tblStyle w:val="TableGrid"/>
        <w:tblW w:w="0" w:type="auto"/>
        <w:tblLook w:val="04A0" w:firstRow="1" w:lastRow="0" w:firstColumn="1" w:lastColumn="0" w:noHBand="0" w:noVBand="1"/>
      </w:tblPr>
      <w:tblGrid>
        <w:gridCol w:w="4509"/>
        <w:gridCol w:w="4510"/>
      </w:tblGrid>
      <w:tr w:rsidR="009747AD" w14:paraId="5FB84C41" w14:textId="77777777" w:rsidTr="009747AD">
        <w:tc>
          <w:tcPr>
            <w:tcW w:w="4509" w:type="dxa"/>
          </w:tcPr>
          <w:p w14:paraId="7688D00B" w14:textId="2641DEA9" w:rsidR="009747AD" w:rsidRPr="009747AD" w:rsidRDefault="009747AD" w:rsidP="009747AD">
            <w:pPr>
              <w:jc w:val="center"/>
              <w:rPr>
                <w:b/>
                <w:bCs/>
              </w:rPr>
            </w:pPr>
            <w:bookmarkStart w:id="1" w:name="_Hlk115421206"/>
            <w:r w:rsidRPr="009747AD">
              <w:rPr>
                <w:b/>
                <w:bCs/>
              </w:rPr>
              <w:t>Venue</w:t>
            </w:r>
          </w:p>
        </w:tc>
        <w:tc>
          <w:tcPr>
            <w:tcW w:w="4510" w:type="dxa"/>
          </w:tcPr>
          <w:p w14:paraId="79A23AD7" w14:textId="1649E476" w:rsidR="009747AD" w:rsidRPr="009747AD" w:rsidRDefault="009747AD" w:rsidP="009747AD">
            <w:pPr>
              <w:jc w:val="center"/>
              <w:rPr>
                <w:b/>
                <w:bCs/>
              </w:rPr>
            </w:pPr>
            <w:r w:rsidRPr="009747AD">
              <w:rPr>
                <w:b/>
                <w:bCs/>
              </w:rPr>
              <w:t>Date</w:t>
            </w:r>
            <w:r>
              <w:rPr>
                <w:b/>
                <w:bCs/>
              </w:rPr>
              <w:t>/Time</w:t>
            </w:r>
          </w:p>
        </w:tc>
      </w:tr>
      <w:tr w:rsidR="009747AD" w14:paraId="65F7F64E" w14:textId="77777777" w:rsidTr="009747AD">
        <w:tc>
          <w:tcPr>
            <w:tcW w:w="4509" w:type="dxa"/>
          </w:tcPr>
          <w:p w14:paraId="3C524716" w14:textId="60DBC545" w:rsidR="009747AD" w:rsidRDefault="009747AD" w:rsidP="00F62777">
            <w:r>
              <w:t>Headstone Village Show</w:t>
            </w:r>
          </w:p>
        </w:tc>
        <w:tc>
          <w:tcPr>
            <w:tcW w:w="4510" w:type="dxa"/>
          </w:tcPr>
          <w:p w14:paraId="3B7DD8EE" w14:textId="0CF2D5AF" w:rsidR="009747AD" w:rsidRDefault="00936C00" w:rsidP="00F62777">
            <w:r>
              <w:t xml:space="preserve">Bank Holiday </w:t>
            </w:r>
            <w:r w:rsidR="009747AD">
              <w:t>Monday 29</w:t>
            </w:r>
            <w:r w:rsidR="009747AD" w:rsidRPr="009747AD">
              <w:rPr>
                <w:vertAlign w:val="superscript"/>
              </w:rPr>
              <w:t>th</w:t>
            </w:r>
            <w:r w:rsidR="009747AD">
              <w:t xml:space="preserve"> August 2022, 12.00-17.00</w:t>
            </w:r>
          </w:p>
        </w:tc>
      </w:tr>
      <w:tr w:rsidR="009747AD" w14:paraId="18BF40F6" w14:textId="77777777" w:rsidTr="009747AD">
        <w:tc>
          <w:tcPr>
            <w:tcW w:w="4509" w:type="dxa"/>
          </w:tcPr>
          <w:p w14:paraId="74B0F1FD" w14:textId="22AB154E" w:rsidR="009747AD" w:rsidRDefault="009747AD" w:rsidP="00F62777">
            <w:r>
              <w:t>Chandos Recreation Ground</w:t>
            </w:r>
          </w:p>
        </w:tc>
        <w:tc>
          <w:tcPr>
            <w:tcW w:w="4510" w:type="dxa"/>
          </w:tcPr>
          <w:p w14:paraId="43406714" w14:textId="3248E3C5" w:rsidR="009747AD" w:rsidRDefault="009747AD" w:rsidP="00F62777">
            <w:r>
              <w:t>Wednesday 7</w:t>
            </w:r>
            <w:r w:rsidRPr="009747AD">
              <w:rPr>
                <w:vertAlign w:val="superscript"/>
              </w:rPr>
              <w:t>th</w:t>
            </w:r>
            <w:r>
              <w:t xml:space="preserve"> September 2022, 10.00-11.00</w:t>
            </w:r>
          </w:p>
        </w:tc>
      </w:tr>
      <w:tr w:rsidR="009747AD" w14:paraId="1ADA7FB0" w14:textId="77777777" w:rsidTr="009747AD">
        <w:tc>
          <w:tcPr>
            <w:tcW w:w="4509" w:type="dxa"/>
          </w:tcPr>
          <w:p w14:paraId="7C2BD6E9" w14:textId="501F109D" w:rsidR="009747AD" w:rsidRDefault="009747AD" w:rsidP="00F62777">
            <w:r>
              <w:t>Byron Park</w:t>
            </w:r>
          </w:p>
        </w:tc>
        <w:tc>
          <w:tcPr>
            <w:tcW w:w="4510" w:type="dxa"/>
          </w:tcPr>
          <w:p w14:paraId="38E095AA" w14:textId="3FE363A5" w:rsidR="009747AD" w:rsidRDefault="009747AD" w:rsidP="00F62777">
            <w:r>
              <w:t>Tuesday 13</w:t>
            </w:r>
            <w:r w:rsidRPr="009747AD">
              <w:rPr>
                <w:vertAlign w:val="superscript"/>
              </w:rPr>
              <w:t>th</w:t>
            </w:r>
            <w:r>
              <w:t xml:space="preserve"> September 2022, 18.00-19.00</w:t>
            </w:r>
          </w:p>
        </w:tc>
      </w:tr>
      <w:tr w:rsidR="009747AD" w14:paraId="35C26899" w14:textId="77777777" w:rsidTr="009747AD">
        <w:tc>
          <w:tcPr>
            <w:tcW w:w="4509" w:type="dxa"/>
          </w:tcPr>
          <w:p w14:paraId="4B61501D" w14:textId="7B903CD4" w:rsidR="009747AD" w:rsidRDefault="009747AD" w:rsidP="00F62777">
            <w:r>
              <w:t>Montesole Playing Fields</w:t>
            </w:r>
          </w:p>
        </w:tc>
        <w:tc>
          <w:tcPr>
            <w:tcW w:w="4510" w:type="dxa"/>
          </w:tcPr>
          <w:p w14:paraId="6F4B45D1" w14:textId="055D66CC" w:rsidR="009747AD" w:rsidRDefault="009747AD" w:rsidP="00F62777">
            <w:r>
              <w:t>Saturday 24</w:t>
            </w:r>
            <w:r w:rsidRPr="009747AD">
              <w:rPr>
                <w:vertAlign w:val="superscript"/>
              </w:rPr>
              <w:t>th</w:t>
            </w:r>
            <w:r>
              <w:rPr>
                <w:vertAlign w:val="superscript"/>
              </w:rPr>
              <w:t xml:space="preserve"> </w:t>
            </w:r>
            <w:r>
              <w:t>September 2022, 10.00-11.00</w:t>
            </w:r>
          </w:p>
        </w:tc>
      </w:tr>
      <w:bookmarkEnd w:id="1"/>
    </w:tbl>
    <w:p w14:paraId="3BB2769D" w14:textId="75DBADF2" w:rsidR="00F62777" w:rsidRDefault="00F62777" w:rsidP="00F62777"/>
    <w:p w14:paraId="61EDD890" w14:textId="77777777" w:rsidR="00FD47B5" w:rsidRDefault="00FD47B5" w:rsidP="00A46DB6">
      <w:pPr>
        <w:ind w:left="1080"/>
      </w:pPr>
      <w:r>
        <w:t>Three pre-consultation events were also held as follows:</w:t>
      </w:r>
    </w:p>
    <w:p w14:paraId="37AEF160" w14:textId="77777777" w:rsidR="00FD47B5" w:rsidRDefault="00FD47B5" w:rsidP="00A46DB6">
      <w:pPr>
        <w:ind w:left="1080"/>
      </w:pPr>
    </w:p>
    <w:tbl>
      <w:tblPr>
        <w:tblStyle w:val="TableGrid"/>
        <w:tblW w:w="0" w:type="auto"/>
        <w:tblLook w:val="04A0" w:firstRow="1" w:lastRow="0" w:firstColumn="1" w:lastColumn="0" w:noHBand="0" w:noVBand="1"/>
      </w:tblPr>
      <w:tblGrid>
        <w:gridCol w:w="4509"/>
        <w:gridCol w:w="4510"/>
      </w:tblGrid>
      <w:tr w:rsidR="00FD47B5" w:rsidRPr="009747AD" w14:paraId="77620D49" w14:textId="77777777" w:rsidTr="002A0C25">
        <w:tc>
          <w:tcPr>
            <w:tcW w:w="4509" w:type="dxa"/>
          </w:tcPr>
          <w:p w14:paraId="76075C69" w14:textId="77777777" w:rsidR="00FD47B5" w:rsidRPr="009747AD" w:rsidRDefault="00FD47B5" w:rsidP="002A0C25">
            <w:pPr>
              <w:jc w:val="center"/>
              <w:rPr>
                <w:b/>
                <w:bCs/>
              </w:rPr>
            </w:pPr>
            <w:r w:rsidRPr="009747AD">
              <w:rPr>
                <w:b/>
                <w:bCs/>
              </w:rPr>
              <w:t>Venue</w:t>
            </w:r>
          </w:p>
        </w:tc>
        <w:tc>
          <w:tcPr>
            <w:tcW w:w="4510" w:type="dxa"/>
          </w:tcPr>
          <w:p w14:paraId="137129EC" w14:textId="77777777" w:rsidR="00FD47B5" w:rsidRPr="009747AD" w:rsidRDefault="00FD47B5" w:rsidP="002A0C25">
            <w:pPr>
              <w:jc w:val="center"/>
              <w:rPr>
                <w:b/>
                <w:bCs/>
              </w:rPr>
            </w:pPr>
            <w:r w:rsidRPr="009747AD">
              <w:rPr>
                <w:b/>
                <w:bCs/>
              </w:rPr>
              <w:t>Date</w:t>
            </w:r>
            <w:r>
              <w:rPr>
                <w:b/>
                <w:bCs/>
              </w:rPr>
              <w:t>/Time</w:t>
            </w:r>
          </w:p>
        </w:tc>
      </w:tr>
      <w:tr w:rsidR="00FD47B5" w14:paraId="21C978DA" w14:textId="77777777" w:rsidTr="002A0C25">
        <w:tc>
          <w:tcPr>
            <w:tcW w:w="4509" w:type="dxa"/>
          </w:tcPr>
          <w:p w14:paraId="07A49F76" w14:textId="63F439C0" w:rsidR="00FD47B5" w:rsidRDefault="00FD47B5" w:rsidP="002A0C25">
            <w:r>
              <w:t>Harrow Weald Recreation Ground</w:t>
            </w:r>
          </w:p>
        </w:tc>
        <w:tc>
          <w:tcPr>
            <w:tcW w:w="4510" w:type="dxa"/>
          </w:tcPr>
          <w:p w14:paraId="518621BF" w14:textId="79B7147C" w:rsidR="00FD47B5" w:rsidRDefault="00FD47B5" w:rsidP="002A0C25">
            <w:r>
              <w:t>Thursday 29</w:t>
            </w:r>
            <w:r w:rsidRPr="00FD47B5">
              <w:rPr>
                <w:vertAlign w:val="superscript"/>
              </w:rPr>
              <w:t>th</w:t>
            </w:r>
            <w:r>
              <w:t xml:space="preserve"> June, 10.00-11.00</w:t>
            </w:r>
          </w:p>
        </w:tc>
      </w:tr>
      <w:tr w:rsidR="00FD47B5" w14:paraId="00B6D1D5" w14:textId="77777777" w:rsidTr="002A0C25">
        <w:tc>
          <w:tcPr>
            <w:tcW w:w="4509" w:type="dxa"/>
          </w:tcPr>
          <w:p w14:paraId="492DFC37" w14:textId="6600CA6A" w:rsidR="00FD47B5" w:rsidRDefault="00FD47B5" w:rsidP="002A0C25">
            <w:r>
              <w:t>Roxeth Recreation Ground</w:t>
            </w:r>
          </w:p>
        </w:tc>
        <w:tc>
          <w:tcPr>
            <w:tcW w:w="4510" w:type="dxa"/>
          </w:tcPr>
          <w:p w14:paraId="0431AC97" w14:textId="72216859" w:rsidR="00FD47B5" w:rsidRDefault="00FD47B5" w:rsidP="002A0C25">
            <w:r>
              <w:t>Saturday 2</w:t>
            </w:r>
            <w:r w:rsidRPr="00FD47B5">
              <w:rPr>
                <w:vertAlign w:val="superscript"/>
              </w:rPr>
              <w:t>nd</w:t>
            </w:r>
            <w:r>
              <w:t xml:space="preserve"> July, 10.00-11.00</w:t>
            </w:r>
          </w:p>
        </w:tc>
      </w:tr>
      <w:tr w:rsidR="00FD47B5" w14:paraId="208704D1" w14:textId="77777777" w:rsidTr="002A0C25">
        <w:tc>
          <w:tcPr>
            <w:tcW w:w="4509" w:type="dxa"/>
          </w:tcPr>
          <w:p w14:paraId="009C9BF8" w14:textId="29428B2A" w:rsidR="00FD47B5" w:rsidRDefault="00FD47B5" w:rsidP="002A0C25">
            <w:r>
              <w:t>Harrow Recreation Ground</w:t>
            </w:r>
          </w:p>
        </w:tc>
        <w:tc>
          <w:tcPr>
            <w:tcW w:w="4510" w:type="dxa"/>
          </w:tcPr>
          <w:p w14:paraId="1318266E" w14:textId="38AF38AB" w:rsidR="00FD47B5" w:rsidRDefault="00FD47B5" w:rsidP="002A0C25">
            <w:r>
              <w:t>Monday 4</w:t>
            </w:r>
            <w:r w:rsidRPr="00FD47B5">
              <w:rPr>
                <w:vertAlign w:val="superscript"/>
              </w:rPr>
              <w:t>th</w:t>
            </w:r>
            <w:r>
              <w:t xml:space="preserve"> July, 18.00-19.00</w:t>
            </w:r>
          </w:p>
        </w:tc>
      </w:tr>
    </w:tbl>
    <w:p w14:paraId="1FED8CC4" w14:textId="115CF5FE" w:rsidR="00FD47B5" w:rsidRDefault="00FD47B5" w:rsidP="00A46DB6">
      <w:pPr>
        <w:ind w:left="1080"/>
      </w:pPr>
      <w:r>
        <w:t xml:space="preserve"> </w:t>
      </w:r>
    </w:p>
    <w:p w14:paraId="07AD01FF" w14:textId="082198F0" w:rsidR="00936C00" w:rsidRDefault="00936C00" w:rsidP="00A46DB6">
      <w:pPr>
        <w:ind w:left="1080"/>
      </w:pPr>
      <w:r>
        <w:t xml:space="preserve">There was </w:t>
      </w:r>
      <w:r w:rsidR="00A46DB6">
        <w:t xml:space="preserve">targeted communication by email to a range of community groups and organisations including the park user groups, tennis clubs and other sports clubs and organisations, youth groups and schools. The consultation was also included in two editions of MyHarrow, which is emailed to 70,000 users. The public were also invited to feedback by email to </w:t>
      </w:r>
      <w:hyperlink r:id="rId13" w:history="1">
        <w:r w:rsidR="00A46DB6" w:rsidRPr="008F7823">
          <w:rPr>
            <w:rStyle w:val="Hyperlink"/>
          </w:rPr>
          <w:t>sportandleisure@harrow.gov.uk</w:t>
        </w:r>
      </w:hyperlink>
      <w:r w:rsidR="00A46DB6">
        <w:t xml:space="preserve"> A total of </w:t>
      </w:r>
      <w:r w:rsidR="00BB7915" w:rsidRPr="00BB7915">
        <w:rPr>
          <w:color w:val="000000" w:themeColor="text1"/>
        </w:rPr>
        <w:t>nine emails</w:t>
      </w:r>
      <w:r w:rsidR="00A46DB6" w:rsidRPr="00BB7915">
        <w:rPr>
          <w:color w:val="000000" w:themeColor="text1"/>
        </w:rPr>
        <w:t xml:space="preserve"> </w:t>
      </w:r>
      <w:r w:rsidR="00A46DB6">
        <w:t>were received.</w:t>
      </w:r>
      <w:r w:rsidR="00E334A4">
        <w:t xml:space="preserve"> This included a response to the consultation by Harrow Recreation Ground stakeholders and park users. A meeting was </w:t>
      </w:r>
      <w:r w:rsidR="00370770">
        <w:t xml:space="preserve">also held </w:t>
      </w:r>
      <w:r w:rsidR="00E334A4">
        <w:t xml:space="preserve">with the Council’s Labour Group during the consultation. </w:t>
      </w:r>
    </w:p>
    <w:p w14:paraId="7C758B83" w14:textId="77777777" w:rsidR="00F62777" w:rsidRDefault="00F62777" w:rsidP="00A46DB6"/>
    <w:p w14:paraId="04B52478" w14:textId="0BF4D6D4" w:rsidR="00AA2207" w:rsidRDefault="00A46DB6" w:rsidP="00800EB5">
      <w:pPr>
        <w:pStyle w:val="ListParagraph"/>
        <w:numPr>
          <w:ilvl w:val="1"/>
          <w:numId w:val="2"/>
        </w:numPr>
      </w:pPr>
      <w:r>
        <w:t xml:space="preserve"> Social media was also used to promote the consultation. There were 12 posts (24 in total) on Facebook and Twitter posted by the Council during the consultation period. These ensure</w:t>
      </w:r>
      <w:r w:rsidR="00370770">
        <w:t>d</w:t>
      </w:r>
      <w:r>
        <w:t xml:space="preserve"> a reach of more than 21,000 during the six weeks. There was a combined total of around 1500 reactions, comments or shares. The most engaged post, on 26 August, saw </w:t>
      </w:r>
      <w:r w:rsidR="00AA2207">
        <w:t>activity</w:t>
      </w:r>
      <w:r>
        <w:t xml:space="preserve"> three times higher than</w:t>
      </w:r>
      <w:r w:rsidR="00AA2207">
        <w:t xml:space="preserve"> </w:t>
      </w:r>
      <w:r>
        <w:t>the average for a Harrow Council Facebook post.</w:t>
      </w:r>
      <w:r w:rsidR="00AA2207">
        <w:t xml:space="preserve"> The majority of comments on social media were against charging being applied or referred to the courts being ‘privatised’. Some who were actively against the proposals used the posts as an opportunity to signpost to an online petition.</w:t>
      </w:r>
    </w:p>
    <w:p w14:paraId="1D827735" w14:textId="3D25432B" w:rsidR="00281EA3" w:rsidRDefault="00281EA3" w:rsidP="00281EA3"/>
    <w:p w14:paraId="13807779" w14:textId="4F3566B4" w:rsidR="00F11C80" w:rsidRDefault="00EC54DC" w:rsidP="00800EB5">
      <w:pPr>
        <w:pStyle w:val="ListParagraph"/>
        <w:numPr>
          <w:ilvl w:val="1"/>
          <w:numId w:val="2"/>
        </w:numPr>
      </w:pPr>
      <w:r>
        <w:t>A</w:t>
      </w:r>
      <w:r w:rsidR="00281EA3">
        <w:t xml:space="preserve"> petition against the Council’s proposals on Change.org </w:t>
      </w:r>
      <w:r w:rsidR="00214AA4">
        <w:t>has been submitted to</w:t>
      </w:r>
      <w:r w:rsidR="00281EA3">
        <w:t xml:space="preserve"> the Council </w:t>
      </w:r>
      <w:hyperlink r:id="rId14" w:history="1">
        <w:r w:rsidR="00281EA3" w:rsidRPr="008F7823">
          <w:rPr>
            <w:rStyle w:val="Hyperlink"/>
          </w:rPr>
          <w:t>https://www.change.org/p/keep-harrow-s-parks-free-to-use</w:t>
        </w:r>
      </w:hyperlink>
      <w:r w:rsidR="00281EA3">
        <w:rPr>
          <w:rStyle w:val="Hyperlink"/>
        </w:rPr>
        <w:t xml:space="preserve"> </w:t>
      </w:r>
      <w:r w:rsidR="00281EA3">
        <w:rPr>
          <w:rStyle w:val="Hyperlink"/>
          <w:color w:val="000000" w:themeColor="text1"/>
          <w:u w:val="none"/>
        </w:rPr>
        <w:t xml:space="preserve">The petition says: “We the undersigned, call on Harrow Council to halt </w:t>
      </w:r>
      <w:r w:rsidR="00091CC1">
        <w:rPr>
          <w:rStyle w:val="Hyperlink"/>
          <w:color w:val="000000" w:themeColor="text1"/>
          <w:u w:val="none"/>
        </w:rPr>
        <w:t>it</w:t>
      </w:r>
      <w:r w:rsidR="00281EA3">
        <w:rPr>
          <w:rStyle w:val="Hyperlink"/>
          <w:color w:val="000000" w:themeColor="text1"/>
          <w:u w:val="none"/>
        </w:rPr>
        <w:t xml:space="preserve">s plans to charge for the use of tennis courts, and commit to ensuring our parks and the facilities within them remain free for all to enjoy.” </w:t>
      </w:r>
      <w:r w:rsidR="00741F35">
        <w:rPr>
          <w:rStyle w:val="Hyperlink"/>
          <w:color w:val="000000" w:themeColor="text1"/>
          <w:u w:val="none"/>
        </w:rPr>
        <w:t xml:space="preserve"> </w:t>
      </w:r>
      <w:r w:rsidR="00214AA4">
        <w:rPr>
          <w:rStyle w:val="Hyperlink"/>
          <w:color w:val="000000" w:themeColor="text1"/>
          <w:u w:val="none"/>
        </w:rPr>
        <w:t>Signed by over 2,000 people t</w:t>
      </w:r>
      <w:r w:rsidR="008C14EC">
        <w:rPr>
          <w:rStyle w:val="Hyperlink"/>
          <w:color w:val="000000" w:themeColor="text1"/>
          <w:u w:val="none"/>
        </w:rPr>
        <w:t>he petition will be responded to in accordance with the Council’s Petition Scheme.</w:t>
      </w:r>
    </w:p>
    <w:p w14:paraId="6757A61B" w14:textId="77777777" w:rsidR="0072003F" w:rsidRDefault="0072003F" w:rsidP="00F11C80"/>
    <w:p w14:paraId="18BF0CF7" w14:textId="770DEF8F" w:rsidR="0004677F" w:rsidRDefault="009860A4" w:rsidP="00800EB5">
      <w:pPr>
        <w:pStyle w:val="ListParagraph"/>
        <w:numPr>
          <w:ilvl w:val="1"/>
          <w:numId w:val="2"/>
        </w:numPr>
      </w:pPr>
      <w:r>
        <w:t xml:space="preserve">There was a total of </w:t>
      </w:r>
      <w:r w:rsidR="009038BE" w:rsidRPr="00A84EB3">
        <w:t>714</w:t>
      </w:r>
      <w:r w:rsidR="009038BE" w:rsidRPr="00C26DCD">
        <w:t xml:space="preserve"> </w:t>
      </w:r>
      <w:r w:rsidR="00C155B1">
        <w:t xml:space="preserve">completed </w:t>
      </w:r>
      <w:r>
        <w:t>responses to the</w:t>
      </w:r>
      <w:r w:rsidRPr="009860A4">
        <w:t xml:space="preserve"> </w:t>
      </w:r>
      <w:r>
        <w:t xml:space="preserve">online public consultation questionnaire. </w:t>
      </w:r>
      <w:r w:rsidR="00941592">
        <w:t xml:space="preserve">The </w:t>
      </w:r>
      <w:r w:rsidR="007B4ED6">
        <w:t xml:space="preserve">full </w:t>
      </w:r>
      <w:r w:rsidR="00941592">
        <w:t xml:space="preserve">results of the </w:t>
      </w:r>
      <w:r>
        <w:t xml:space="preserve">questionnaire </w:t>
      </w:r>
      <w:r w:rsidR="00941592">
        <w:t xml:space="preserve">are detailed in Appendix </w:t>
      </w:r>
      <w:r w:rsidR="00E67F91">
        <w:t>2</w:t>
      </w:r>
      <w:r w:rsidR="007B4ED6">
        <w:t>.</w:t>
      </w:r>
      <w:r w:rsidR="00A57E83">
        <w:t xml:space="preserve"> A summary of responses to </w:t>
      </w:r>
      <w:r w:rsidR="00FD47B5">
        <w:t>some of the</w:t>
      </w:r>
      <w:r w:rsidR="00EB69F0">
        <w:t xml:space="preserve"> </w:t>
      </w:r>
      <w:r w:rsidR="00A57E83">
        <w:t>questions is detailed below:</w:t>
      </w:r>
    </w:p>
    <w:p w14:paraId="4C9B18C5" w14:textId="77777777" w:rsidR="00146BCE" w:rsidRDefault="00146BCE" w:rsidP="00146BCE">
      <w:pPr>
        <w:pStyle w:val="ListParagraph"/>
      </w:pPr>
    </w:p>
    <w:tbl>
      <w:tblPr>
        <w:tblStyle w:val="TableGrid"/>
        <w:tblW w:w="9351" w:type="dxa"/>
        <w:tblLook w:val="04A0" w:firstRow="1" w:lastRow="0" w:firstColumn="1" w:lastColumn="0" w:noHBand="0" w:noVBand="1"/>
      </w:tblPr>
      <w:tblGrid>
        <w:gridCol w:w="4673"/>
        <w:gridCol w:w="4678"/>
      </w:tblGrid>
      <w:tr w:rsidR="009860A4" w14:paraId="3FCF5C72" w14:textId="77777777" w:rsidTr="00926EC0">
        <w:tc>
          <w:tcPr>
            <w:tcW w:w="4673" w:type="dxa"/>
          </w:tcPr>
          <w:p w14:paraId="23ACE4CF" w14:textId="43F3F937" w:rsidR="009860A4" w:rsidRPr="00A57E83" w:rsidRDefault="009860A4" w:rsidP="009D67C8">
            <w:pPr>
              <w:rPr>
                <w:b/>
                <w:bCs/>
                <w:sz w:val="22"/>
                <w:szCs w:val="22"/>
              </w:rPr>
            </w:pPr>
            <w:r w:rsidRPr="00A57E83">
              <w:rPr>
                <w:b/>
                <w:bCs/>
                <w:sz w:val="22"/>
                <w:szCs w:val="22"/>
              </w:rPr>
              <w:t>Question</w:t>
            </w:r>
          </w:p>
        </w:tc>
        <w:tc>
          <w:tcPr>
            <w:tcW w:w="4678" w:type="dxa"/>
          </w:tcPr>
          <w:p w14:paraId="3AD2B0A4" w14:textId="539BDE0C" w:rsidR="009860A4" w:rsidRPr="00A57E83" w:rsidRDefault="00A57E83" w:rsidP="009D67C8">
            <w:pPr>
              <w:rPr>
                <w:b/>
                <w:bCs/>
                <w:sz w:val="22"/>
                <w:szCs w:val="22"/>
              </w:rPr>
            </w:pPr>
            <w:r w:rsidRPr="00A57E83">
              <w:rPr>
                <w:b/>
                <w:bCs/>
                <w:sz w:val="22"/>
                <w:szCs w:val="22"/>
              </w:rPr>
              <w:t>Response</w:t>
            </w:r>
          </w:p>
        </w:tc>
      </w:tr>
      <w:tr w:rsidR="009860A4" w14:paraId="6E86940D" w14:textId="77777777" w:rsidTr="00926EC0">
        <w:tc>
          <w:tcPr>
            <w:tcW w:w="4673" w:type="dxa"/>
          </w:tcPr>
          <w:p w14:paraId="6D41067C" w14:textId="72C22F34" w:rsidR="00F62777" w:rsidRDefault="00F62777" w:rsidP="00800EB5">
            <w:pPr>
              <w:pStyle w:val="ListParagraph"/>
              <w:numPr>
                <w:ilvl w:val="0"/>
                <w:numId w:val="5"/>
              </w:numPr>
              <w:rPr>
                <w:sz w:val="22"/>
                <w:szCs w:val="22"/>
              </w:rPr>
            </w:pPr>
            <w:r>
              <w:rPr>
                <w:sz w:val="22"/>
                <w:szCs w:val="22"/>
              </w:rPr>
              <w:t>Which of these statements do you agree with?</w:t>
            </w:r>
          </w:p>
          <w:p w14:paraId="6546ACBE" w14:textId="77777777" w:rsidR="00F62777" w:rsidRPr="00F62777" w:rsidRDefault="00F62777" w:rsidP="00F62777">
            <w:pPr>
              <w:rPr>
                <w:sz w:val="22"/>
                <w:szCs w:val="22"/>
              </w:rPr>
            </w:pPr>
          </w:p>
          <w:p w14:paraId="7645502E" w14:textId="323B2332" w:rsidR="009860A4" w:rsidRDefault="0092434A" w:rsidP="00800EB5">
            <w:pPr>
              <w:pStyle w:val="ListParagraph"/>
              <w:numPr>
                <w:ilvl w:val="0"/>
                <w:numId w:val="7"/>
              </w:numPr>
              <w:rPr>
                <w:sz w:val="22"/>
                <w:szCs w:val="22"/>
              </w:rPr>
            </w:pPr>
            <w:r w:rsidRPr="00F62777">
              <w:rPr>
                <w:sz w:val="22"/>
                <w:szCs w:val="22"/>
              </w:rPr>
              <w:t>Yes,</w:t>
            </w:r>
            <w:r w:rsidR="00A91EF6" w:rsidRPr="00F62777">
              <w:rPr>
                <w:sz w:val="22"/>
                <w:szCs w:val="22"/>
              </w:rPr>
              <w:t xml:space="preserve"> I am i</w:t>
            </w:r>
            <w:r w:rsidR="0086497C" w:rsidRPr="00F62777">
              <w:rPr>
                <w:sz w:val="22"/>
                <w:szCs w:val="22"/>
              </w:rPr>
              <w:t>n</w:t>
            </w:r>
            <w:r w:rsidR="00A57E83" w:rsidRPr="00F62777">
              <w:rPr>
                <w:sz w:val="22"/>
                <w:szCs w:val="22"/>
              </w:rPr>
              <w:t xml:space="preserve"> </w:t>
            </w:r>
            <w:bookmarkStart w:id="2" w:name="_Hlk116809655"/>
            <w:r w:rsidR="00A57E83" w:rsidRPr="00F62777">
              <w:rPr>
                <w:sz w:val="22"/>
                <w:szCs w:val="22"/>
              </w:rPr>
              <w:t>favour of the Council’s plans for investment in the tennis courts and for an external operator to run the courts understanding that this will mean charges for tennis court users</w:t>
            </w:r>
            <w:r w:rsidR="00F62777">
              <w:rPr>
                <w:sz w:val="22"/>
                <w:szCs w:val="22"/>
              </w:rPr>
              <w:t>.</w:t>
            </w:r>
          </w:p>
          <w:bookmarkEnd w:id="2"/>
          <w:p w14:paraId="111A453A" w14:textId="21C1F827" w:rsidR="00F62777" w:rsidRPr="00F62777" w:rsidRDefault="00F62777" w:rsidP="00800EB5">
            <w:pPr>
              <w:pStyle w:val="ListParagraph"/>
              <w:numPr>
                <w:ilvl w:val="0"/>
                <w:numId w:val="7"/>
              </w:numPr>
              <w:rPr>
                <w:sz w:val="22"/>
                <w:szCs w:val="22"/>
              </w:rPr>
            </w:pPr>
            <w:r>
              <w:rPr>
                <w:sz w:val="22"/>
                <w:szCs w:val="22"/>
              </w:rPr>
              <w:t>No, I don’t want the Council to pursue the grant to renovate the tennis courts. I understand that this will mean they will not be renovated as other funding sources have not been identified and some sites will remain closed/unplayable.</w:t>
            </w:r>
          </w:p>
        </w:tc>
        <w:tc>
          <w:tcPr>
            <w:tcW w:w="4678" w:type="dxa"/>
          </w:tcPr>
          <w:p w14:paraId="34C834CE" w14:textId="5C1BB34F" w:rsidR="009860A4" w:rsidRPr="007A6DA7" w:rsidRDefault="00926EC0" w:rsidP="009D67C8">
            <w:pPr>
              <w:rPr>
                <w:b/>
                <w:bCs/>
                <w:sz w:val="22"/>
                <w:szCs w:val="22"/>
              </w:rPr>
            </w:pPr>
            <w:r w:rsidRPr="007A6DA7">
              <w:rPr>
                <w:b/>
                <w:bCs/>
                <w:sz w:val="22"/>
                <w:szCs w:val="22"/>
              </w:rPr>
              <w:t>57</w:t>
            </w:r>
            <w:r w:rsidR="00A57E83" w:rsidRPr="007A6DA7">
              <w:rPr>
                <w:b/>
                <w:bCs/>
                <w:sz w:val="22"/>
                <w:szCs w:val="22"/>
              </w:rPr>
              <w:t>%</w:t>
            </w:r>
            <w:r w:rsidR="00A57E83" w:rsidRPr="007A6DA7">
              <w:rPr>
                <w:sz w:val="22"/>
                <w:szCs w:val="22"/>
              </w:rPr>
              <w:t xml:space="preserve"> </w:t>
            </w:r>
            <w:r w:rsidR="00A57E83" w:rsidRPr="007A6DA7">
              <w:rPr>
                <w:b/>
                <w:bCs/>
                <w:sz w:val="22"/>
                <w:szCs w:val="22"/>
              </w:rPr>
              <w:t>In favour</w:t>
            </w:r>
          </w:p>
          <w:p w14:paraId="01E4F66C" w14:textId="71D1DBC4" w:rsidR="00A57E83" w:rsidRPr="007A6DA7" w:rsidRDefault="00926EC0" w:rsidP="009D67C8">
            <w:pPr>
              <w:rPr>
                <w:sz w:val="22"/>
                <w:szCs w:val="22"/>
              </w:rPr>
            </w:pPr>
            <w:r w:rsidRPr="007A6DA7">
              <w:rPr>
                <w:b/>
                <w:bCs/>
                <w:sz w:val="22"/>
                <w:szCs w:val="22"/>
              </w:rPr>
              <w:t>43</w:t>
            </w:r>
            <w:r w:rsidR="00A57E83" w:rsidRPr="007A6DA7">
              <w:rPr>
                <w:b/>
                <w:bCs/>
                <w:sz w:val="22"/>
                <w:szCs w:val="22"/>
              </w:rPr>
              <w:t>%</w:t>
            </w:r>
            <w:r w:rsidR="00A57E83" w:rsidRPr="007A6DA7">
              <w:rPr>
                <w:sz w:val="22"/>
                <w:szCs w:val="22"/>
              </w:rPr>
              <w:t xml:space="preserve"> </w:t>
            </w:r>
            <w:r w:rsidR="00A57E83" w:rsidRPr="007A6DA7">
              <w:rPr>
                <w:b/>
                <w:bCs/>
                <w:sz w:val="22"/>
                <w:szCs w:val="22"/>
              </w:rPr>
              <w:t>Not in favour</w:t>
            </w:r>
          </w:p>
          <w:p w14:paraId="66876F11" w14:textId="77777777" w:rsidR="00A57E83" w:rsidRPr="007A6DA7" w:rsidRDefault="00A57E83" w:rsidP="009D67C8">
            <w:pPr>
              <w:rPr>
                <w:sz w:val="22"/>
                <w:szCs w:val="22"/>
              </w:rPr>
            </w:pPr>
          </w:p>
          <w:p w14:paraId="0505FCEB" w14:textId="60D915A0" w:rsidR="007A6DA7" w:rsidRPr="007A6DA7" w:rsidRDefault="007A6DA7" w:rsidP="007A6DA7">
            <w:pPr>
              <w:rPr>
                <w:rFonts w:eastAsia="Calibri" w:cs="Arial"/>
                <w:sz w:val="22"/>
                <w:szCs w:val="22"/>
              </w:rPr>
            </w:pPr>
            <w:r>
              <w:rPr>
                <w:rFonts w:eastAsia="Calibri" w:cs="Arial"/>
                <w:sz w:val="22"/>
                <w:szCs w:val="22"/>
              </w:rPr>
              <w:t>Those living near courts assessed as unplayable responses:</w:t>
            </w:r>
          </w:p>
          <w:p w14:paraId="51C48036" w14:textId="744B77A6" w:rsidR="007A6DA7" w:rsidRPr="007A6DA7" w:rsidRDefault="007A6DA7" w:rsidP="007A6DA7">
            <w:pPr>
              <w:rPr>
                <w:rFonts w:cs="Arial"/>
                <w:i/>
                <w:iCs/>
                <w:sz w:val="22"/>
                <w:szCs w:val="22"/>
              </w:rPr>
            </w:pPr>
            <w:r w:rsidRPr="007A6DA7">
              <w:rPr>
                <w:rFonts w:cs="Arial"/>
                <w:i/>
                <w:iCs/>
                <w:sz w:val="22"/>
                <w:szCs w:val="22"/>
              </w:rPr>
              <w:t>Byron Recreation Ground – 47 responses</w:t>
            </w:r>
          </w:p>
          <w:p w14:paraId="7A778456" w14:textId="77777777" w:rsidR="007A6DA7" w:rsidRPr="007A6DA7" w:rsidRDefault="007A6DA7" w:rsidP="00800EB5">
            <w:pPr>
              <w:numPr>
                <w:ilvl w:val="1"/>
                <w:numId w:val="13"/>
              </w:numPr>
              <w:rPr>
                <w:rFonts w:cs="Arial"/>
                <w:sz w:val="22"/>
                <w:szCs w:val="22"/>
              </w:rPr>
            </w:pPr>
            <w:r w:rsidRPr="007A6DA7">
              <w:rPr>
                <w:rFonts w:cs="Arial"/>
                <w:sz w:val="22"/>
                <w:szCs w:val="22"/>
              </w:rPr>
              <w:t>For – 35 (74%)</w:t>
            </w:r>
          </w:p>
          <w:p w14:paraId="561CC696" w14:textId="77777777" w:rsidR="007A6DA7" w:rsidRPr="007A6DA7" w:rsidRDefault="007A6DA7" w:rsidP="00800EB5">
            <w:pPr>
              <w:numPr>
                <w:ilvl w:val="1"/>
                <w:numId w:val="13"/>
              </w:numPr>
              <w:rPr>
                <w:rFonts w:cs="Arial"/>
                <w:sz w:val="22"/>
                <w:szCs w:val="22"/>
              </w:rPr>
            </w:pPr>
            <w:r w:rsidRPr="007A6DA7">
              <w:rPr>
                <w:rFonts w:cs="Arial"/>
                <w:sz w:val="22"/>
                <w:szCs w:val="22"/>
              </w:rPr>
              <w:t>Against – 12 (26%)</w:t>
            </w:r>
          </w:p>
          <w:p w14:paraId="49B98DB9" w14:textId="77777777" w:rsidR="007A6DA7" w:rsidRPr="007A6DA7" w:rsidRDefault="007A6DA7" w:rsidP="007A6DA7">
            <w:pPr>
              <w:rPr>
                <w:rFonts w:cs="Arial"/>
                <w:i/>
                <w:iCs/>
                <w:sz w:val="22"/>
                <w:szCs w:val="22"/>
              </w:rPr>
            </w:pPr>
            <w:r w:rsidRPr="007A6DA7">
              <w:rPr>
                <w:rFonts w:cs="Arial"/>
                <w:i/>
                <w:iCs/>
                <w:sz w:val="22"/>
                <w:szCs w:val="22"/>
              </w:rPr>
              <w:t>Centenary Park – 64 responses</w:t>
            </w:r>
          </w:p>
          <w:p w14:paraId="6E7ED6FC" w14:textId="77777777" w:rsidR="007A6DA7" w:rsidRPr="007A6DA7" w:rsidRDefault="007A6DA7" w:rsidP="00800EB5">
            <w:pPr>
              <w:numPr>
                <w:ilvl w:val="1"/>
                <w:numId w:val="13"/>
              </w:numPr>
              <w:rPr>
                <w:rFonts w:cs="Arial"/>
                <w:sz w:val="22"/>
                <w:szCs w:val="22"/>
              </w:rPr>
            </w:pPr>
            <w:r w:rsidRPr="007A6DA7">
              <w:rPr>
                <w:rFonts w:cs="Arial"/>
                <w:sz w:val="22"/>
                <w:szCs w:val="22"/>
              </w:rPr>
              <w:t>For – 54 (84%)</w:t>
            </w:r>
          </w:p>
          <w:p w14:paraId="130A6727" w14:textId="77777777" w:rsidR="007A6DA7" w:rsidRPr="007A6DA7" w:rsidRDefault="007A6DA7" w:rsidP="00800EB5">
            <w:pPr>
              <w:numPr>
                <w:ilvl w:val="1"/>
                <w:numId w:val="13"/>
              </w:numPr>
              <w:rPr>
                <w:rFonts w:cs="Arial"/>
                <w:sz w:val="22"/>
                <w:szCs w:val="22"/>
              </w:rPr>
            </w:pPr>
            <w:r w:rsidRPr="007A6DA7">
              <w:rPr>
                <w:rFonts w:cs="Arial"/>
                <w:sz w:val="22"/>
                <w:szCs w:val="22"/>
              </w:rPr>
              <w:t>Against – 10 (16%)</w:t>
            </w:r>
          </w:p>
          <w:p w14:paraId="2D7A5571" w14:textId="77777777" w:rsidR="007A6DA7" w:rsidRPr="007A6DA7" w:rsidRDefault="007A6DA7" w:rsidP="007A6DA7">
            <w:pPr>
              <w:rPr>
                <w:rFonts w:cs="Arial"/>
                <w:i/>
                <w:iCs/>
                <w:sz w:val="22"/>
                <w:szCs w:val="22"/>
              </w:rPr>
            </w:pPr>
            <w:r w:rsidRPr="007A6DA7">
              <w:rPr>
                <w:rFonts w:cs="Arial"/>
                <w:i/>
                <w:iCs/>
                <w:sz w:val="22"/>
                <w:szCs w:val="22"/>
              </w:rPr>
              <w:t>Headstone Manor Recreation Ground – 78 responses</w:t>
            </w:r>
          </w:p>
          <w:p w14:paraId="492C8C5E" w14:textId="77777777" w:rsidR="007A6DA7" w:rsidRPr="007A6DA7" w:rsidRDefault="007A6DA7" w:rsidP="00800EB5">
            <w:pPr>
              <w:numPr>
                <w:ilvl w:val="1"/>
                <w:numId w:val="13"/>
              </w:numPr>
              <w:rPr>
                <w:rFonts w:cs="Arial"/>
                <w:sz w:val="22"/>
                <w:szCs w:val="22"/>
              </w:rPr>
            </w:pPr>
            <w:r w:rsidRPr="007A6DA7">
              <w:rPr>
                <w:rFonts w:cs="Arial"/>
                <w:sz w:val="22"/>
                <w:szCs w:val="22"/>
              </w:rPr>
              <w:t>For – 56 (72%)</w:t>
            </w:r>
          </w:p>
          <w:p w14:paraId="4D11D474" w14:textId="77777777" w:rsidR="007A6DA7" w:rsidRPr="007A6DA7" w:rsidRDefault="007A6DA7" w:rsidP="00800EB5">
            <w:pPr>
              <w:numPr>
                <w:ilvl w:val="1"/>
                <w:numId w:val="13"/>
              </w:numPr>
              <w:rPr>
                <w:rFonts w:cs="Arial"/>
                <w:sz w:val="22"/>
                <w:szCs w:val="22"/>
              </w:rPr>
            </w:pPr>
            <w:r w:rsidRPr="007A6DA7">
              <w:rPr>
                <w:rFonts w:cs="Arial"/>
                <w:sz w:val="22"/>
                <w:szCs w:val="22"/>
              </w:rPr>
              <w:t>Against – 22 (28%)</w:t>
            </w:r>
          </w:p>
          <w:p w14:paraId="40104BF8" w14:textId="77777777" w:rsidR="007A6DA7" w:rsidRPr="007A6DA7" w:rsidRDefault="007A6DA7" w:rsidP="007A6DA7">
            <w:pPr>
              <w:rPr>
                <w:rFonts w:eastAsia="Calibri" w:cs="Arial"/>
                <w:sz w:val="22"/>
                <w:szCs w:val="22"/>
              </w:rPr>
            </w:pPr>
          </w:p>
          <w:p w14:paraId="4C3F3D2A" w14:textId="2F886691" w:rsidR="007A6DA7" w:rsidRPr="007A6DA7" w:rsidRDefault="007A6DA7" w:rsidP="007A6DA7">
            <w:pPr>
              <w:rPr>
                <w:rFonts w:eastAsia="Calibri" w:cs="Arial"/>
                <w:sz w:val="22"/>
                <w:szCs w:val="22"/>
              </w:rPr>
            </w:pPr>
            <w:r>
              <w:rPr>
                <w:rFonts w:eastAsia="Calibri" w:cs="Arial"/>
                <w:sz w:val="22"/>
                <w:szCs w:val="22"/>
              </w:rPr>
              <w:t>Those living near courts assessed as very good or good courts responses:</w:t>
            </w:r>
          </w:p>
          <w:p w14:paraId="311A4675" w14:textId="77777777" w:rsidR="007A6DA7" w:rsidRPr="007A6DA7" w:rsidRDefault="007A6DA7" w:rsidP="007A6DA7">
            <w:pPr>
              <w:rPr>
                <w:rFonts w:eastAsia="Calibri" w:cs="Arial"/>
                <w:i/>
                <w:iCs/>
                <w:sz w:val="22"/>
                <w:szCs w:val="22"/>
              </w:rPr>
            </w:pPr>
            <w:r w:rsidRPr="007A6DA7">
              <w:rPr>
                <w:rFonts w:eastAsia="Calibri" w:cs="Arial"/>
                <w:i/>
                <w:iCs/>
                <w:sz w:val="22"/>
                <w:szCs w:val="22"/>
              </w:rPr>
              <w:t>Rayners Mead – 22 responses</w:t>
            </w:r>
          </w:p>
          <w:p w14:paraId="580DB3F2" w14:textId="77777777" w:rsidR="007A6DA7" w:rsidRPr="007A6DA7" w:rsidRDefault="007A6DA7" w:rsidP="00800EB5">
            <w:pPr>
              <w:numPr>
                <w:ilvl w:val="0"/>
                <w:numId w:val="14"/>
              </w:numPr>
              <w:rPr>
                <w:rFonts w:cs="Arial"/>
                <w:sz w:val="22"/>
                <w:szCs w:val="22"/>
              </w:rPr>
            </w:pPr>
            <w:r w:rsidRPr="007A6DA7">
              <w:rPr>
                <w:rFonts w:cs="Arial"/>
                <w:sz w:val="22"/>
                <w:szCs w:val="22"/>
              </w:rPr>
              <w:t>For – 9 (41%)</w:t>
            </w:r>
          </w:p>
          <w:p w14:paraId="20BD22A8" w14:textId="77777777" w:rsidR="007A6DA7" w:rsidRPr="007A6DA7" w:rsidRDefault="007A6DA7" w:rsidP="00800EB5">
            <w:pPr>
              <w:numPr>
                <w:ilvl w:val="0"/>
                <w:numId w:val="14"/>
              </w:numPr>
              <w:rPr>
                <w:rFonts w:cs="Arial"/>
                <w:sz w:val="22"/>
                <w:szCs w:val="22"/>
              </w:rPr>
            </w:pPr>
            <w:r w:rsidRPr="007A6DA7">
              <w:rPr>
                <w:rFonts w:cs="Arial"/>
                <w:sz w:val="22"/>
                <w:szCs w:val="22"/>
              </w:rPr>
              <w:t>Against – 13 (59%)</w:t>
            </w:r>
          </w:p>
          <w:p w14:paraId="12E75569" w14:textId="77777777" w:rsidR="007A6DA7" w:rsidRPr="007A6DA7" w:rsidRDefault="007A6DA7" w:rsidP="007A6DA7">
            <w:pPr>
              <w:rPr>
                <w:rFonts w:eastAsia="Calibri" w:cs="Arial"/>
                <w:sz w:val="22"/>
                <w:szCs w:val="22"/>
              </w:rPr>
            </w:pPr>
          </w:p>
          <w:p w14:paraId="4FC45078" w14:textId="77777777" w:rsidR="007A6DA7" w:rsidRPr="007A6DA7" w:rsidRDefault="007A6DA7" w:rsidP="007A6DA7">
            <w:pPr>
              <w:rPr>
                <w:rFonts w:eastAsia="Calibri" w:cs="Arial"/>
                <w:i/>
                <w:iCs/>
                <w:sz w:val="22"/>
                <w:szCs w:val="22"/>
              </w:rPr>
            </w:pPr>
            <w:r w:rsidRPr="007A6DA7">
              <w:rPr>
                <w:rFonts w:eastAsia="Calibri" w:cs="Arial"/>
                <w:i/>
                <w:iCs/>
                <w:sz w:val="22"/>
                <w:szCs w:val="22"/>
              </w:rPr>
              <w:t>Pinner Village Gardens – 93 responses</w:t>
            </w:r>
          </w:p>
          <w:p w14:paraId="394FF5B1" w14:textId="77777777" w:rsidR="007A6DA7" w:rsidRPr="007A6DA7" w:rsidRDefault="007A6DA7" w:rsidP="00800EB5">
            <w:pPr>
              <w:numPr>
                <w:ilvl w:val="0"/>
                <w:numId w:val="15"/>
              </w:numPr>
              <w:rPr>
                <w:rFonts w:cs="Arial"/>
                <w:sz w:val="22"/>
                <w:szCs w:val="22"/>
              </w:rPr>
            </w:pPr>
            <w:r w:rsidRPr="007A6DA7">
              <w:rPr>
                <w:rFonts w:cs="Arial"/>
                <w:sz w:val="22"/>
                <w:szCs w:val="22"/>
              </w:rPr>
              <w:t>For – 55 (59%)</w:t>
            </w:r>
          </w:p>
          <w:p w14:paraId="4B9168EF" w14:textId="77777777" w:rsidR="007A6DA7" w:rsidRPr="007A6DA7" w:rsidRDefault="007A6DA7" w:rsidP="00800EB5">
            <w:pPr>
              <w:numPr>
                <w:ilvl w:val="0"/>
                <w:numId w:val="15"/>
              </w:numPr>
              <w:rPr>
                <w:rFonts w:cs="Arial"/>
                <w:sz w:val="22"/>
                <w:szCs w:val="22"/>
              </w:rPr>
            </w:pPr>
            <w:r w:rsidRPr="007A6DA7">
              <w:rPr>
                <w:rFonts w:cs="Arial"/>
                <w:sz w:val="22"/>
                <w:szCs w:val="22"/>
              </w:rPr>
              <w:t>Against – 38 (41%)</w:t>
            </w:r>
          </w:p>
          <w:p w14:paraId="2473664D" w14:textId="77777777" w:rsidR="007A6DA7" w:rsidRPr="007A6DA7" w:rsidRDefault="007A6DA7" w:rsidP="007A6DA7">
            <w:pPr>
              <w:rPr>
                <w:rFonts w:eastAsia="Calibri" w:cs="Arial"/>
                <w:b/>
                <w:bCs/>
                <w:sz w:val="22"/>
                <w:szCs w:val="22"/>
              </w:rPr>
            </w:pPr>
          </w:p>
          <w:p w14:paraId="7A286AC4" w14:textId="77777777" w:rsidR="007A6DA7" w:rsidRPr="007A6DA7" w:rsidRDefault="007A6DA7" w:rsidP="007A6DA7">
            <w:pPr>
              <w:rPr>
                <w:rFonts w:eastAsia="Calibri" w:cs="Arial"/>
                <w:i/>
                <w:iCs/>
                <w:sz w:val="22"/>
                <w:szCs w:val="22"/>
              </w:rPr>
            </w:pPr>
            <w:r w:rsidRPr="007A6DA7">
              <w:rPr>
                <w:rFonts w:eastAsia="Calibri" w:cs="Arial"/>
                <w:i/>
                <w:iCs/>
                <w:sz w:val="22"/>
                <w:szCs w:val="22"/>
              </w:rPr>
              <w:t>West Harrow Rec – 91 responses</w:t>
            </w:r>
          </w:p>
          <w:p w14:paraId="7B94D663" w14:textId="77777777" w:rsidR="007A6DA7" w:rsidRPr="007A6DA7" w:rsidRDefault="007A6DA7" w:rsidP="00800EB5">
            <w:pPr>
              <w:numPr>
                <w:ilvl w:val="0"/>
                <w:numId w:val="16"/>
              </w:numPr>
              <w:rPr>
                <w:rFonts w:cs="Arial"/>
                <w:sz w:val="22"/>
                <w:szCs w:val="22"/>
              </w:rPr>
            </w:pPr>
            <w:r w:rsidRPr="007A6DA7">
              <w:rPr>
                <w:rFonts w:cs="Arial"/>
                <w:sz w:val="22"/>
                <w:szCs w:val="22"/>
              </w:rPr>
              <w:t>For – 26 (29%)</w:t>
            </w:r>
          </w:p>
          <w:p w14:paraId="17F19777" w14:textId="77777777" w:rsidR="007A6DA7" w:rsidRPr="007A6DA7" w:rsidRDefault="007A6DA7" w:rsidP="00800EB5">
            <w:pPr>
              <w:numPr>
                <w:ilvl w:val="0"/>
                <w:numId w:val="16"/>
              </w:numPr>
              <w:rPr>
                <w:rFonts w:cs="Arial"/>
                <w:sz w:val="22"/>
                <w:szCs w:val="22"/>
              </w:rPr>
            </w:pPr>
            <w:r w:rsidRPr="007A6DA7">
              <w:rPr>
                <w:rFonts w:cs="Arial"/>
                <w:sz w:val="22"/>
                <w:szCs w:val="22"/>
              </w:rPr>
              <w:t>Against – 65 (71%)</w:t>
            </w:r>
          </w:p>
          <w:p w14:paraId="37DE844F" w14:textId="3DD70FC0" w:rsidR="0092434A" w:rsidRPr="007A6DA7" w:rsidRDefault="0092434A" w:rsidP="009D67C8">
            <w:pPr>
              <w:rPr>
                <w:b/>
                <w:bCs/>
                <w:sz w:val="22"/>
                <w:szCs w:val="22"/>
              </w:rPr>
            </w:pPr>
          </w:p>
        </w:tc>
      </w:tr>
      <w:tr w:rsidR="009860A4" w14:paraId="6F89156D" w14:textId="77777777" w:rsidTr="00926EC0">
        <w:tc>
          <w:tcPr>
            <w:tcW w:w="4673" w:type="dxa"/>
          </w:tcPr>
          <w:p w14:paraId="3BEAB042" w14:textId="4B6B574C" w:rsidR="009860A4" w:rsidRPr="00A57E83" w:rsidRDefault="00A91EF6" w:rsidP="00800EB5">
            <w:pPr>
              <w:pStyle w:val="ListParagraph"/>
              <w:numPr>
                <w:ilvl w:val="0"/>
                <w:numId w:val="5"/>
              </w:numPr>
              <w:rPr>
                <w:sz w:val="22"/>
                <w:szCs w:val="22"/>
              </w:rPr>
            </w:pPr>
            <w:r>
              <w:rPr>
                <w:sz w:val="22"/>
                <w:szCs w:val="22"/>
              </w:rPr>
              <w:t>Do you c</w:t>
            </w:r>
            <w:r w:rsidR="0086497C">
              <w:rPr>
                <w:sz w:val="22"/>
                <w:szCs w:val="22"/>
              </w:rPr>
              <w:t xml:space="preserve">urrently use the tennis courts </w:t>
            </w:r>
            <w:r w:rsidR="00763A86">
              <w:rPr>
                <w:sz w:val="22"/>
                <w:szCs w:val="22"/>
              </w:rPr>
              <w:t xml:space="preserve">in the parks </w:t>
            </w:r>
            <w:r w:rsidR="0086497C">
              <w:rPr>
                <w:sz w:val="22"/>
                <w:szCs w:val="22"/>
              </w:rPr>
              <w:t xml:space="preserve">to play </w:t>
            </w:r>
            <w:r w:rsidR="00A57E83">
              <w:rPr>
                <w:sz w:val="22"/>
                <w:szCs w:val="22"/>
              </w:rPr>
              <w:t>tennis</w:t>
            </w:r>
            <w:r w:rsidR="00763A86">
              <w:rPr>
                <w:sz w:val="22"/>
                <w:szCs w:val="22"/>
              </w:rPr>
              <w:t>?</w:t>
            </w:r>
          </w:p>
        </w:tc>
        <w:tc>
          <w:tcPr>
            <w:tcW w:w="4678" w:type="dxa"/>
          </w:tcPr>
          <w:p w14:paraId="5AA652F1" w14:textId="245E3DF0" w:rsidR="009860A4" w:rsidRDefault="00C155B1" w:rsidP="009D67C8">
            <w:pPr>
              <w:rPr>
                <w:b/>
                <w:bCs/>
                <w:sz w:val="22"/>
                <w:szCs w:val="22"/>
              </w:rPr>
            </w:pPr>
            <w:r>
              <w:rPr>
                <w:sz w:val="22"/>
                <w:szCs w:val="22"/>
              </w:rPr>
              <w:t xml:space="preserve">Yes – </w:t>
            </w:r>
            <w:r w:rsidRPr="00C155B1">
              <w:rPr>
                <w:b/>
                <w:bCs/>
                <w:sz w:val="22"/>
                <w:szCs w:val="22"/>
              </w:rPr>
              <w:t>51%</w:t>
            </w:r>
          </w:p>
          <w:p w14:paraId="4E7AF023" w14:textId="664DEA19" w:rsidR="00C155B1" w:rsidRDefault="00C155B1" w:rsidP="009D67C8">
            <w:pPr>
              <w:rPr>
                <w:sz w:val="22"/>
                <w:szCs w:val="22"/>
              </w:rPr>
            </w:pPr>
            <w:r>
              <w:rPr>
                <w:sz w:val="22"/>
                <w:szCs w:val="22"/>
              </w:rPr>
              <w:t xml:space="preserve">No – </w:t>
            </w:r>
            <w:r w:rsidRPr="00C155B1">
              <w:rPr>
                <w:b/>
                <w:bCs/>
                <w:sz w:val="22"/>
                <w:szCs w:val="22"/>
              </w:rPr>
              <w:t>49%</w:t>
            </w:r>
          </w:p>
          <w:p w14:paraId="35789F6E" w14:textId="58AA3AF6" w:rsidR="00763A86" w:rsidRPr="00A57E83" w:rsidRDefault="00763A86" w:rsidP="009D67C8">
            <w:pPr>
              <w:rPr>
                <w:sz w:val="22"/>
                <w:szCs w:val="22"/>
              </w:rPr>
            </w:pPr>
          </w:p>
        </w:tc>
      </w:tr>
      <w:tr w:rsidR="009860A4" w14:paraId="17CAA66E" w14:textId="77777777" w:rsidTr="00926EC0">
        <w:tc>
          <w:tcPr>
            <w:tcW w:w="4673" w:type="dxa"/>
          </w:tcPr>
          <w:p w14:paraId="7907E7F6" w14:textId="62B8D4A4" w:rsidR="009860A4" w:rsidRPr="00A57E83" w:rsidRDefault="0086497C" w:rsidP="00800EB5">
            <w:pPr>
              <w:pStyle w:val="ListParagraph"/>
              <w:numPr>
                <w:ilvl w:val="0"/>
                <w:numId w:val="5"/>
              </w:numPr>
              <w:rPr>
                <w:sz w:val="22"/>
                <w:szCs w:val="22"/>
              </w:rPr>
            </w:pPr>
            <w:r>
              <w:rPr>
                <w:sz w:val="22"/>
                <w:szCs w:val="22"/>
              </w:rPr>
              <w:t>If the condition of all the tennis courts in Harrow’s parks was improved would your usage increase, remain the same, or decrease?</w:t>
            </w:r>
          </w:p>
        </w:tc>
        <w:tc>
          <w:tcPr>
            <w:tcW w:w="4678" w:type="dxa"/>
          </w:tcPr>
          <w:p w14:paraId="5D7F7066" w14:textId="77777777" w:rsidR="009860A4" w:rsidRDefault="00C155B1" w:rsidP="009D67C8">
            <w:pPr>
              <w:rPr>
                <w:b/>
                <w:bCs/>
                <w:sz w:val="22"/>
                <w:szCs w:val="22"/>
              </w:rPr>
            </w:pPr>
            <w:r>
              <w:rPr>
                <w:sz w:val="22"/>
                <w:szCs w:val="22"/>
              </w:rPr>
              <w:t xml:space="preserve">Remain the same - </w:t>
            </w:r>
            <w:r w:rsidRPr="00C155B1">
              <w:rPr>
                <w:b/>
                <w:bCs/>
                <w:sz w:val="22"/>
                <w:szCs w:val="22"/>
              </w:rPr>
              <w:t>41</w:t>
            </w:r>
            <w:r w:rsidR="00A57E83" w:rsidRPr="00C155B1">
              <w:rPr>
                <w:b/>
                <w:bCs/>
                <w:sz w:val="22"/>
                <w:szCs w:val="22"/>
              </w:rPr>
              <w:t>%</w:t>
            </w:r>
          </w:p>
          <w:p w14:paraId="03AB69A3" w14:textId="77777777" w:rsidR="00C155B1" w:rsidRDefault="00C155B1" w:rsidP="009D67C8">
            <w:pPr>
              <w:rPr>
                <w:b/>
                <w:bCs/>
                <w:sz w:val="22"/>
                <w:szCs w:val="22"/>
              </w:rPr>
            </w:pPr>
            <w:r w:rsidRPr="00C155B1">
              <w:rPr>
                <w:sz w:val="22"/>
                <w:szCs w:val="22"/>
              </w:rPr>
              <w:t>Increase –</w:t>
            </w:r>
            <w:r>
              <w:rPr>
                <w:b/>
                <w:bCs/>
                <w:sz w:val="22"/>
                <w:szCs w:val="22"/>
              </w:rPr>
              <w:t xml:space="preserve"> 50%</w:t>
            </w:r>
          </w:p>
          <w:p w14:paraId="29FD3185" w14:textId="77777777" w:rsidR="00C155B1" w:rsidRDefault="00C155B1" w:rsidP="009D67C8">
            <w:pPr>
              <w:rPr>
                <w:b/>
                <w:bCs/>
                <w:sz w:val="22"/>
                <w:szCs w:val="22"/>
              </w:rPr>
            </w:pPr>
            <w:r>
              <w:rPr>
                <w:sz w:val="22"/>
                <w:szCs w:val="22"/>
              </w:rPr>
              <w:t xml:space="preserve">Decrease – </w:t>
            </w:r>
            <w:r>
              <w:rPr>
                <w:b/>
                <w:bCs/>
                <w:sz w:val="22"/>
                <w:szCs w:val="22"/>
              </w:rPr>
              <w:t>1%</w:t>
            </w:r>
          </w:p>
          <w:p w14:paraId="3F5AC1D4" w14:textId="2D07AFA7" w:rsidR="00C155B1" w:rsidRPr="00C155B1" w:rsidRDefault="00C155B1" w:rsidP="009D67C8">
            <w:pPr>
              <w:rPr>
                <w:sz w:val="22"/>
                <w:szCs w:val="22"/>
              </w:rPr>
            </w:pPr>
            <w:r>
              <w:rPr>
                <w:sz w:val="22"/>
                <w:szCs w:val="22"/>
              </w:rPr>
              <w:t xml:space="preserve">Not sure – </w:t>
            </w:r>
            <w:r w:rsidRPr="00C155B1">
              <w:rPr>
                <w:b/>
                <w:bCs/>
                <w:sz w:val="22"/>
                <w:szCs w:val="22"/>
              </w:rPr>
              <w:t>8%</w:t>
            </w:r>
          </w:p>
        </w:tc>
      </w:tr>
      <w:tr w:rsidR="009860A4" w14:paraId="1A2564E4" w14:textId="77777777" w:rsidTr="00926EC0">
        <w:tc>
          <w:tcPr>
            <w:tcW w:w="4673" w:type="dxa"/>
          </w:tcPr>
          <w:p w14:paraId="545F7737" w14:textId="27805F22" w:rsidR="009860A4" w:rsidRPr="0086497C" w:rsidRDefault="00763A86" w:rsidP="00800EB5">
            <w:pPr>
              <w:pStyle w:val="ListParagraph"/>
              <w:numPr>
                <w:ilvl w:val="0"/>
                <w:numId w:val="5"/>
              </w:numPr>
              <w:rPr>
                <w:sz w:val="22"/>
                <w:szCs w:val="22"/>
              </w:rPr>
            </w:pPr>
            <w:r>
              <w:rPr>
                <w:sz w:val="22"/>
                <w:szCs w:val="22"/>
              </w:rPr>
              <w:t xml:space="preserve">If the Council proceeds with the investment, what would you be prepared to pay for the hire of a tennis court in Harrow? </w:t>
            </w:r>
            <w:r w:rsidR="0086497C">
              <w:rPr>
                <w:sz w:val="22"/>
                <w:szCs w:val="22"/>
              </w:rPr>
              <w:t xml:space="preserve"> </w:t>
            </w:r>
          </w:p>
        </w:tc>
        <w:tc>
          <w:tcPr>
            <w:tcW w:w="4678" w:type="dxa"/>
          </w:tcPr>
          <w:p w14:paraId="14400D93" w14:textId="77777777" w:rsidR="002222C5" w:rsidRPr="002222C5" w:rsidRDefault="002222C5" w:rsidP="002222C5">
            <w:pPr>
              <w:rPr>
                <w:color w:val="000000" w:themeColor="text1"/>
                <w:sz w:val="22"/>
                <w:szCs w:val="22"/>
              </w:rPr>
            </w:pPr>
            <w:r w:rsidRPr="002222C5">
              <w:rPr>
                <w:b/>
                <w:bCs/>
                <w:color w:val="000000" w:themeColor="text1"/>
                <w:sz w:val="22"/>
                <w:szCs w:val="22"/>
              </w:rPr>
              <w:t>49.1%</w:t>
            </w:r>
            <w:r w:rsidRPr="002222C5">
              <w:rPr>
                <w:color w:val="000000" w:themeColor="text1"/>
                <w:sz w:val="22"/>
                <w:szCs w:val="22"/>
              </w:rPr>
              <w:t xml:space="preserve"> of respondees indicated charging levels they would be happy with as detailed below:</w:t>
            </w:r>
          </w:p>
          <w:p w14:paraId="78556CFB" w14:textId="77777777" w:rsidR="002222C5" w:rsidRPr="002222C5" w:rsidRDefault="002222C5" w:rsidP="002222C5">
            <w:pPr>
              <w:rPr>
                <w:color w:val="000000" w:themeColor="text1"/>
                <w:sz w:val="22"/>
                <w:szCs w:val="22"/>
              </w:rPr>
            </w:pPr>
            <w:r w:rsidRPr="002222C5">
              <w:rPr>
                <w:color w:val="000000" w:themeColor="text1"/>
                <w:sz w:val="22"/>
                <w:szCs w:val="22"/>
              </w:rPr>
              <w:t xml:space="preserve">£3-5 per hour – </w:t>
            </w:r>
            <w:r w:rsidRPr="002222C5">
              <w:rPr>
                <w:b/>
                <w:bCs/>
                <w:color w:val="000000" w:themeColor="text1"/>
                <w:sz w:val="22"/>
                <w:szCs w:val="22"/>
              </w:rPr>
              <w:t>26.7%</w:t>
            </w:r>
          </w:p>
          <w:p w14:paraId="0042DC50" w14:textId="77777777" w:rsidR="002222C5" w:rsidRPr="002222C5" w:rsidRDefault="002222C5" w:rsidP="002222C5">
            <w:pPr>
              <w:rPr>
                <w:b/>
                <w:bCs/>
                <w:color w:val="000000" w:themeColor="text1"/>
                <w:sz w:val="22"/>
                <w:szCs w:val="22"/>
              </w:rPr>
            </w:pPr>
            <w:r w:rsidRPr="002222C5">
              <w:rPr>
                <w:color w:val="000000" w:themeColor="text1"/>
                <w:sz w:val="22"/>
                <w:szCs w:val="22"/>
              </w:rPr>
              <w:t xml:space="preserve">£5-7 per hour – </w:t>
            </w:r>
            <w:r w:rsidRPr="002222C5">
              <w:rPr>
                <w:b/>
                <w:bCs/>
                <w:color w:val="000000" w:themeColor="text1"/>
                <w:sz w:val="22"/>
                <w:szCs w:val="22"/>
              </w:rPr>
              <w:t>13.7%</w:t>
            </w:r>
          </w:p>
          <w:p w14:paraId="200A97BF" w14:textId="77777777" w:rsidR="002222C5" w:rsidRPr="002222C5" w:rsidRDefault="002222C5" w:rsidP="002222C5">
            <w:pPr>
              <w:rPr>
                <w:b/>
                <w:bCs/>
                <w:color w:val="000000" w:themeColor="text1"/>
                <w:sz w:val="22"/>
                <w:szCs w:val="22"/>
              </w:rPr>
            </w:pPr>
            <w:r w:rsidRPr="002222C5">
              <w:rPr>
                <w:color w:val="000000" w:themeColor="text1"/>
                <w:sz w:val="22"/>
                <w:szCs w:val="22"/>
              </w:rPr>
              <w:t xml:space="preserve">£7-10 per hour – </w:t>
            </w:r>
            <w:r w:rsidRPr="002222C5">
              <w:rPr>
                <w:b/>
                <w:bCs/>
                <w:color w:val="000000" w:themeColor="text1"/>
                <w:sz w:val="22"/>
                <w:szCs w:val="22"/>
              </w:rPr>
              <w:t>7.0%</w:t>
            </w:r>
          </w:p>
          <w:p w14:paraId="516C3415" w14:textId="77777777" w:rsidR="002222C5" w:rsidRPr="002222C5" w:rsidRDefault="002222C5" w:rsidP="002222C5">
            <w:pPr>
              <w:rPr>
                <w:color w:val="000000" w:themeColor="text1"/>
                <w:sz w:val="22"/>
                <w:szCs w:val="22"/>
              </w:rPr>
            </w:pPr>
            <w:r w:rsidRPr="002222C5">
              <w:rPr>
                <w:color w:val="000000" w:themeColor="text1"/>
                <w:sz w:val="22"/>
                <w:szCs w:val="22"/>
              </w:rPr>
              <w:t xml:space="preserve">£10-12 per hour – </w:t>
            </w:r>
            <w:r w:rsidRPr="002222C5">
              <w:rPr>
                <w:b/>
                <w:bCs/>
                <w:color w:val="000000" w:themeColor="text1"/>
                <w:sz w:val="22"/>
                <w:szCs w:val="22"/>
              </w:rPr>
              <w:t>1.7%</w:t>
            </w:r>
          </w:p>
          <w:p w14:paraId="6D6D6E17" w14:textId="3F16EC9C" w:rsidR="00763A86" w:rsidRPr="00A57E83" w:rsidRDefault="002222C5" w:rsidP="002222C5">
            <w:pPr>
              <w:rPr>
                <w:sz w:val="22"/>
                <w:szCs w:val="22"/>
              </w:rPr>
            </w:pPr>
            <w:r w:rsidRPr="002222C5">
              <w:rPr>
                <w:color w:val="000000" w:themeColor="text1"/>
                <w:sz w:val="22"/>
                <w:szCs w:val="22"/>
              </w:rPr>
              <w:t xml:space="preserve">I don’t think there should be any charges – </w:t>
            </w:r>
            <w:r w:rsidRPr="002222C5">
              <w:rPr>
                <w:b/>
                <w:bCs/>
                <w:color w:val="000000" w:themeColor="text1"/>
                <w:sz w:val="22"/>
                <w:szCs w:val="22"/>
              </w:rPr>
              <w:t>50.9%</w:t>
            </w:r>
          </w:p>
        </w:tc>
      </w:tr>
      <w:tr w:rsidR="009038BE" w14:paraId="0F3AEEB1" w14:textId="77777777" w:rsidTr="00926EC0">
        <w:tc>
          <w:tcPr>
            <w:tcW w:w="4673" w:type="dxa"/>
          </w:tcPr>
          <w:p w14:paraId="444B40BF" w14:textId="488D3670" w:rsidR="009038BE" w:rsidRDefault="009038BE" w:rsidP="00800EB5">
            <w:pPr>
              <w:pStyle w:val="ListParagraph"/>
              <w:numPr>
                <w:ilvl w:val="0"/>
                <w:numId w:val="5"/>
              </w:numPr>
              <w:rPr>
                <w:sz w:val="22"/>
                <w:szCs w:val="22"/>
              </w:rPr>
            </w:pPr>
            <w:r>
              <w:rPr>
                <w:sz w:val="22"/>
                <w:szCs w:val="22"/>
              </w:rPr>
              <w:t>What are your thoughts about paying for the hire of tennis courts via the online booking system?</w:t>
            </w:r>
          </w:p>
        </w:tc>
        <w:tc>
          <w:tcPr>
            <w:tcW w:w="4678" w:type="dxa"/>
          </w:tcPr>
          <w:p w14:paraId="1874A2C9" w14:textId="0750D9A1" w:rsidR="009038BE" w:rsidRDefault="009038BE" w:rsidP="009D67C8">
            <w:pPr>
              <w:rPr>
                <w:sz w:val="22"/>
                <w:szCs w:val="22"/>
              </w:rPr>
            </w:pPr>
            <w:r>
              <w:rPr>
                <w:sz w:val="22"/>
                <w:szCs w:val="22"/>
              </w:rPr>
              <w:t xml:space="preserve">I would be in favour if the courts were </w:t>
            </w:r>
            <w:r w:rsidR="00EB69F0">
              <w:rPr>
                <w:sz w:val="22"/>
                <w:szCs w:val="22"/>
              </w:rPr>
              <w:t>improved,</w:t>
            </w:r>
            <w:r>
              <w:rPr>
                <w:sz w:val="22"/>
                <w:szCs w:val="22"/>
              </w:rPr>
              <w:t xml:space="preserve"> and I could book a court at a time that suits me </w:t>
            </w:r>
            <w:r w:rsidR="00926EC0">
              <w:rPr>
                <w:sz w:val="22"/>
                <w:szCs w:val="22"/>
              </w:rPr>
              <w:t xml:space="preserve">– </w:t>
            </w:r>
            <w:r w:rsidR="00926EC0" w:rsidRPr="00EB69F0">
              <w:rPr>
                <w:b/>
                <w:bCs/>
                <w:sz w:val="22"/>
                <w:szCs w:val="22"/>
              </w:rPr>
              <w:t>47%</w:t>
            </w:r>
          </w:p>
          <w:p w14:paraId="547ED87B" w14:textId="77777777" w:rsidR="00926EC0" w:rsidRDefault="00926EC0" w:rsidP="009D67C8">
            <w:pPr>
              <w:rPr>
                <w:sz w:val="22"/>
                <w:szCs w:val="22"/>
              </w:rPr>
            </w:pPr>
            <w:r>
              <w:rPr>
                <w:sz w:val="22"/>
                <w:szCs w:val="22"/>
              </w:rPr>
              <w:lastRenderedPageBreak/>
              <w:t xml:space="preserve">I would not be in favour – </w:t>
            </w:r>
            <w:r w:rsidRPr="00EB69F0">
              <w:rPr>
                <w:b/>
                <w:bCs/>
                <w:sz w:val="22"/>
                <w:szCs w:val="22"/>
              </w:rPr>
              <w:t>45%</w:t>
            </w:r>
          </w:p>
          <w:p w14:paraId="15FFBE79" w14:textId="2DD3A1B3" w:rsidR="00926EC0" w:rsidRDefault="00926EC0" w:rsidP="009D67C8">
            <w:pPr>
              <w:rPr>
                <w:sz w:val="22"/>
                <w:szCs w:val="22"/>
              </w:rPr>
            </w:pPr>
            <w:r>
              <w:rPr>
                <w:sz w:val="22"/>
                <w:szCs w:val="22"/>
              </w:rPr>
              <w:t xml:space="preserve">I do not currently play or intend to play </w:t>
            </w:r>
            <w:r w:rsidR="00EB69F0">
              <w:rPr>
                <w:sz w:val="22"/>
                <w:szCs w:val="22"/>
              </w:rPr>
              <w:t>tennis,</w:t>
            </w:r>
            <w:r>
              <w:rPr>
                <w:sz w:val="22"/>
                <w:szCs w:val="22"/>
              </w:rPr>
              <w:t xml:space="preserve"> so it does not affect me - </w:t>
            </w:r>
            <w:r w:rsidRPr="00EB69F0">
              <w:rPr>
                <w:b/>
                <w:bCs/>
                <w:sz w:val="22"/>
                <w:szCs w:val="22"/>
              </w:rPr>
              <w:t>8%</w:t>
            </w:r>
          </w:p>
        </w:tc>
      </w:tr>
      <w:tr w:rsidR="009860A4" w14:paraId="2F66783D" w14:textId="77777777" w:rsidTr="00926EC0">
        <w:tc>
          <w:tcPr>
            <w:tcW w:w="4673" w:type="dxa"/>
          </w:tcPr>
          <w:p w14:paraId="279C2E1C" w14:textId="64BA1F77" w:rsidR="009860A4" w:rsidRPr="00843471" w:rsidRDefault="00843471" w:rsidP="00800EB5">
            <w:pPr>
              <w:pStyle w:val="ListParagraph"/>
              <w:numPr>
                <w:ilvl w:val="0"/>
                <w:numId w:val="5"/>
              </w:numPr>
              <w:rPr>
                <w:sz w:val="22"/>
                <w:szCs w:val="22"/>
              </w:rPr>
            </w:pPr>
            <w:r>
              <w:rPr>
                <w:sz w:val="22"/>
                <w:szCs w:val="22"/>
              </w:rPr>
              <w:lastRenderedPageBreak/>
              <w:t>If the Council proceeds with the investment which groups do you think should be offered discounted court hire?</w:t>
            </w:r>
          </w:p>
        </w:tc>
        <w:tc>
          <w:tcPr>
            <w:tcW w:w="4678" w:type="dxa"/>
          </w:tcPr>
          <w:p w14:paraId="47935204" w14:textId="042CF9E1" w:rsidR="009860A4" w:rsidRPr="00EB69F0" w:rsidRDefault="00843471" w:rsidP="009D67C8">
            <w:pPr>
              <w:rPr>
                <w:b/>
                <w:bCs/>
                <w:sz w:val="22"/>
                <w:szCs w:val="22"/>
              </w:rPr>
            </w:pPr>
            <w:r>
              <w:rPr>
                <w:sz w:val="22"/>
                <w:szCs w:val="22"/>
              </w:rPr>
              <w:t xml:space="preserve">Children under 18 </w:t>
            </w:r>
            <w:r w:rsidR="00EB69F0">
              <w:rPr>
                <w:sz w:val="22"/>
                <w:szCs w:val="22"/>
              </w:rPr>
              <w:t xml:space="preserve">– </w:t>
            </w:r>
            <w:r w:rsidR="00EB69F0">
              <w:rPr>
                <w:b/>
                <w:bCs/>
                <w:sz w:val="22"/>
                <w:szCs w:val="22"/>
              </w:rPr>
              <w:t>29%</w:t>
            </w:r>
          </w:p>
          <w:p w14:paraId="5967C8FC" w14:textId="308A2006" w:rsidR="00843471" w:rsidRPr="00EB69F0" w:rsidRDefault="00843471" w:rsidP="009D67C8">
            <w:pPr>
              <w:rPr>
                <w:b/>
                <w:bCs/>
                <w:sz w:val="22"/>
                <w:szCs w:val="22"/>
              </w:rPr>
            </w:pPr>
            <w:r>
              <w:rPr>
                <w:sz w:val="22"/>
                <w:szCs w:val="22"/>
              </w:rPr>
              <w:t xml:space="preserve">Adults over 65 </w:t>
            </w:r>
            <w:r w:rsidR="00EB69F0">
              <w:rPr>
                <w:sz w:val="22"/>
                <w:szCs w:val="22"/>
              </w:rPr>
              <w:t xml:space="preserve">– </w:t>
            </w:r>
            <w:r w:rsidR="00EB69F0">
              <w:rPr>
                <w:b/>
                <w:bCs/>
                <w:sz w:val="22"/>
                <w:szCs w:val="22"/>
              </w:rPr>
              <w:t>21%</w:t>
            </w:r>
          </w:p>
          <w:p w14:paraId="3804908E" w14:textId="19D7D1BC" w:rsidR="00843471" w:rsidRPr="00EB69F0" w:rsidRDefault="00843471" w:rsidP="009D67C8">
            <w:pPr>
              <w:rPr>
                <w:b/>
                <w:bCs/>
                <w:sz w:val="22"/>
                <w:szCs w:val="22"/>
              </w:rPr>
            </w:pPr>
            <w:r>
              <w:rPr>
                <w:sz w:val="22"/>
                <w:szCs w:val="22"/>
              </w:rPr>
              <w:t xml:space="preserve">Disabled People </w:t>
            </w:r>
            <w:r w:rsidR="00EB69F0">
              <w:rPr>
                <w:sz w:val="22"/>
                <w:szCs w:val="22"/>
              </w:rPr>
              <w:t>–</w:t>
            </w:r>
            <w:r>
              <w:rPr>
                <w:sz w:val="22"/>
                <w:szCs w:val="22"/>
              </w:rPr>
              <w:t xml:space="preserve"> </w:t>
            </w:r>
            <w:r w:rsidR="00EB69F0">
              <w:rPr>
                <w:b/>
                <w:bCs/>
                <w:sz w:val="22"/>
                <w:szCs w:val="22"/>
              </w:rPr>
              <w:t>22%</w:t>
            </w:r>
          </w:p>
          <w:p w14:paraId="6A5218D1" w14:textId="63914C77" w:rsidR="00843471" w:rsidRPr="00EB69F0" w:rsidRDefault="00843471" w:rsidP="009D67C8">
            <w:pPr>
              <w:rPr>
                <w:b/>
                <w:bCs/>
                <w:sz w:val="22"/>
                <w:szCs w:val="22"/>
              </w:rPr>
            </w:pPr>
            <w:r>
              <w:rPr>
                <w:sz w:val="22"/>
                <w:szCs w:val="22"/>
              </w:rPr>
              <w:t xml:space="preserve">Those claiming Universal Credit </w:t>
            </w:r>
            <w:r w:rsidR="00EB69F0">
              <w:rPr>
                <w:sz w:val="22"/>
                <w:szCs w:val="22"/>
              </w:rPr>
              <w:t>–</w:t>
            </w:r>
            <w:r>
              <w:rPr>
                <w:sz w:val="22"/>
                <w:szCs w:val="22"/>
              </w:rPr>
              <w:t xml:space="preserve"> </w:t>
            </w:r>
            <w:r w:rsidR="00EB69F0">
              <w:rPr>
                <w:b/>
                <w:bCs/>
                <w:sz w:val="22"/>
                <w:szCs w:val="22"/>
              </w:rPr>
              <w:t>17%</w:t>
            </w:r>
          </w:p>
          <w:p w14:paraId="2DA1B340" w14:textId="42DB2D9E" w:rsidR="00843471" w:rsidRPr="00EB69F0" w:rsidRDefault="00843471" w:rsidP="009D67C8">
            <w:pPr>
              <w:rPr>
                <w:b/>
                <w:bCs/>
                <w:sz w:val="22"/>
                <w:szCs w:val="22"/>
              </w:rPr>
            </w:pPr>
            <w:r>
              <w:rPr>
                <w:sz w:val="22"/>
                <w:szCs w:val="22"/>
              </w:rPr>
              <w:t xml:space="preserve">Other </w:t>
            </w:r>
            <w:r w:rsidR="00EB69F0">
              <w:rPr>
                <w:sz w:val="22"/>
                <w:szCs w:val="22"/>
              </w:rPr>
              <w:t>–</w:t>
            </w:r>
            <w:r>
              <w:rPr>
                <w:sz w:val="22"/>
                <w:szCs w:val="22"/>
              </w:rPr>
              <w:t xml:space="preserve"> </w:t>
            </w:r>
            <w:r w:rsidR="00EB69F0">
              <w:rPr>
                <w:b/>
                <w:bCs/>
                <w:sz w:val="22"/>
                <w:szCs w:val="22"/>
              </w:rPr>
              <w:t>11%</w:t>
            </w:r>
          </w:p>
        </w:tc>
      </w:tr>
      <w:tr w:rsidR="009860A4" w14:paraId="3C83F2CD" w14:textId="77777777" w:rsidTr="00926EC0">
        <w:tc>
          <w:tcPr>
            <w:tcW w:w="4673" w:type="dxa"/>
          </w:tcPr>
          <w:p w14:paraId="50EF4936" w14:textId="38554D85" w:rsidR="009860A4" w:rsidRPr="007946C0" w:rsidRDefault="007946C0" w:rsidP="00800EB5">
            <w:pPr>
              <w:pStyle w:val="ListParagraph"/>
              <w:numPr>
                <w:ilvl w:val="0"/>
                <w:numId w:val="5"/>
              </w:numPr>
              <w:rPr>
                <w:sz w:val="22"/>
                <w:szCs w:val="22"/>
              </w:rPr>
            </w:pPr>
            <w:r>
              <w:rPr>
                <w:sz w:val="22"/>
                <w:szCs w:val="22"/>
              </w:rPr>
              <w:t>If the Council proceeds with the investment, would you be in favour of some free coach led sessions targeted at specific groups?</w:t>
            </w:r>
          </w:p>
        </w:tc>
        <w:tc>
          <w:tcPr>
            <w:tcW w:w="4678" w:type="dxa"/>
          </w:tcPr>
          <w:p w14:paraId="25C3FB51" w14:textId="141BF9AD" w:rsidR="009860A4" w:rsidRPr="00EB69F0" w:rsidRDefault="007946C0" w:rsidP="009D67C8">
            <w:pPr>
              <w:rPr>
                <w:b/>
                <w:bCs/>
                <w:sz w:val="22"/>
                <w:szCs w:val="22"/>
              </w:rPr>
            </w:pPr>
            <w:r>
              <w:rPr>
                <w:sz w:val="22"/>
                <w:szCs w:val="22"/>
              </w:rPr>
              <w:t xml:space="preserve">Yes – </w:t>
            </w:r>
            <w:r w:rsidR="00EB69F0">
              <w:rPr>
                <w:b/>
                <w:bCs/>
                <w:sz w:val="22"/>
                <w:szCs w:val="22"/>
              </w:rPr>
              <w:t>63%</w:t>
            </w:r>
          </w:p>
          <w:p w14:paraId="5F9D1E4B" w14:textId="6A413F67" w:rsidR="007946C0" w:rsidRPr="00EB69F0" w:rsidRDefault="007946C0" w:rsidP="009D67C8">
            <w:pPr>
              <w:rPr>
                <w:b/>
                <w:bCs/>
                <w:sz w:val="22"/>
                <w:szCs w:val="22"/>
              </w:rPr>
            </w:pPr>
            <w:r>
              <w:rPr>
                <w:sz w:val="22"/>
                <w:szCs w:val="22"/>
              </w:rPr>
              <w:t xml:space="preserve">No – </w:t>
            </w:r>
            <w:r w:rsidR="00EB69F0">
              <w:rPr>
                <w:b/>
                <w:bCs/>
                <w:sz w:val="22"/>
                <w:szCs w:val="22"/>
              </w:rPr>
              <w:t>19%</w:t>
            </w:r>
          </w:p>
          <w:p w14:paraId="79B4E1C3" w14:textId="28731887" w:rsidR="007946C0" w:rsidRPr="00EB69F0" w:rsidRDefault="00EB69F0" w:rsidP="009D67C8">
            <w:pPr>
              <w:rPr>
                <w:b/>
                <w:bCs/>
                <w:sz w:val="22"/>
                <w:szCs w:val="22"/>
              </w:rPr>
            </w:pPr>
            <w:r>
              <w:rPr>
                <w:sz w:val="22"/>
                <w:szCs w:val="22"/>
              </w:rPr>
              <w:t>Not sure</w:t>
            </w:r>
            <w:r w:rsidR="007946C0">
              <w:rPr>
                <w:sz w:val="22"/>
                <w:szCs w:val="22"/>
              </w:rPr>
              <w:t xml:space="preserve"> –</w:t>
            </w:r>
            <w:r>
              <w:rPr>
                <w:sz w:val="22"/>
                <w:szCs w:val="22"/>
              </w:rPr>
              <w:t xml:space="preserve"> </w:t>
            </w:r>
            <w:r>
              <w:rPr>
                <w:b/>
                <w:bCs/>
                <w:sz w:val="22"/>
                <w:szCs w:val="22"/>
              </w:rPr>
              <w:t>18%</w:t>
            </w:r>
          </w:p>
          <w:p w14:paraId="6B759F52" w14:textId="77777777" w:rsidR="007946C0" w:rsidRDefault="007946C0" w:rsidP="009D67C8">
            <w:pPr>
              <w:rPr>
                <w:sz w:val="22"/>
                <w:szCs w:val="22"/>
              </w:rPr>
            </w:pPr>
            <w:r>
              <w:rPr>
                <w:sz w:val="22"/>
                <w:szCs w:val="22"/>
              </w:rPr>
              <w:t>Which would be of interest?</w:t>
            </w:r>
          </w:p>
          <w:p w14:paraId="10AA9965" w14:textId="28F88233" w:rsidR="007946C0" w:rsidRPr="00EB69F0" w:rsidRDefault="007946C0" w:rsidP="009D67C8">
            <w:pPr>
              <w:rPr>
                <w:b/>
                <w:bCs/>
                <w:sz w:val="22"/>
                <w:szCs w:val="22"/>
              </w:rPr>
            </w:pPr>
            <w:r>
              <w:rPr>
                <w:sz w:val="22"/>
                <w:szCs w:val="22"/>
              </w:rPr>
              <w:t>Children under 18</w:t>
            </w:r>
            <w:r w:rsidR="00EB69F0">
              <w:rPr>
                <w:sz w:val="22"/>
                <w:szCs w:val="22"/>
              </w:rPr>
              <w:t xml:space="preserve"> – </w:t>
            </w:r>
            <w:r w:rsidR="00EB69F0">
              <w:rPr>
                <w:b/>
                <w:bCs/>
                <w:sz w:val="22"/>
                <w:szCs w:val="22"/>
              </w:rPr>
              <w:t>39%</w:t>
            </w:r>
          </w:p>
          <w:p w14:paraId="749EBD65" w14:textId="6CA14CA6" w:rsidR="007946C0" w:rsidRPr="00EB69F0" w:rsidRDefault="007946C0" w:rsidP="009D67C8">
            <w:pPr>
              <w:rPr>
                <w:b/>
                <w:bCs/>
                <w:sz w:val="22"/>
                <w:szCs w:val="22"/>
              </w:rPr>
            </w:pPr>
            <w:r>
              <w:rPr>
                <w:sz w:val="22"/>
                <w:szCs w:val="22"/>
              </w:rPr>
              <w:t>Adults over 65</w:t>
            </w:r>
            <w:r w:rsidR="00EB69F0">
              <w:rPr>
                <w:sz w:val="22"/>
                <w:szCs w:val="22"/>
              </w:rPr>
              <w:t xml:space="preserve"> – </w:t>
            </w:r>
            <w:r w:rsidR="00EB69F0">
              <w:rPr>
                <w:b/>
                <w:bCs/>
                <w:sz w:val="22"/>
                <w:szCs w:val="22"/>
              </w:rPr>
              <w:t>19%</w:t>
            </w:r>
          </w:p>
          <w:p w14:paraId="2DA4B10E" w14:textId="4DA13C30" w:rsidR="007946C0" w:rsidRPr="00EB69F0" w:rsidRDefault="007946C0" w:rsidP="009D67C8">
            <w:pPr>
              <w:rPr>
                <w:b/>
                <w:bCs/>
                <w:sz w:val="22"/>
                <w:szCs w:val="22"/>
              </w:rPr>
            </w:pPr>
            <w:r>
              <w:rPr>
                <w:sz w:val="22"/>
                <w:szCs w:val="22"/>
              </w:rPr>
              <w:t>Disabled people</w:t>
            </w:r>
            <w:r w:rsidR="00EB69F0">
              <w:rPr>
                <w:sz w:val="22"/>
                <w:szCs w:val="22"/>
              </w:rPr>
              <w:t xml:space="preserve"> – </w:t>
            </w:r>
            <w:r w:rsidR="00EB69F0">
              <w:rPr>
                <w:b/>
                <w:bCs/>
                <w:sz w:val="22"/>
                <w:szCs w:val="22"/>
              </w:rPr>
              <w:t>19%</w:t>
            </w:r>
          </w:p>
          <w:p w14:paraId="721E368A" w14:textId="77777777" w:rsidR="007946C0" w:rsidRDefault="007946C0" w:rsidP="009D67C8">
            <w:pPr>
              <w:rPr>
                <w:b/>
                <w:bCs/>
                <w:sz w:val="22"/>
                <w:szCs w:val="22"/>
              </w:rPr>
            </w:pPr>
            <w:r>
              <w:rPr>
                <w:sz w:val="22"/>
                <w:szCs w:val="22"/>
              </w:rPr>
              <w:t>Those claiming Universal Credit</w:t>
            </w:r>
            <w:r w:rsidR="00EB69F0">
              <w:rPr>
                <w:sz w:val="22"/>
                <w:szCs w:val="22"/>
              </w:rPr>
              <w:t xml:space="preserve"> – </w:t>
            </w:r>
            <w:r w:rsidR="00EB69F0">
              <w:rPr>
                <w:b/>
                <w:bCs/>
                <w:sz w:val="22"/>
                <w:szCs w:val="22"/>
              </w:rPr>
              <w:t>14%</w:t>
            </w:r>
          </w:p>
          <w:p w14:paraId="06D88C1D" w14:textId="1DF8E392" w:rsidR="00EB69F0" w:rsidRPr="00EB69F0" w:rsidRDefault="00EB69F0" w:rsidP="009D67C8">
            <w:pPr>
              <w:rPr>
                <w:sz w:val="22"/>
                <w:szCs w:val="22"/>
              </w:rPr>
            </w:pPr>
            <w:r>
              <w:rPr>
                <w:sz w:val="22"/>
                <w:szCs w:val="22"/>
              </w:rPr>
              <w:t xml:space="preserve">Other – </w:t>
            </w:r>
            <w:r w:rsidRPr="00EB69F0">
              <w:rPr>
                <w:b/>
                <w:bCs/>
                <w:sz w:val="22"/>
                <w:szCs w:val="22"/>
              </w:rPr>
              <w:t>9%</w:t>
            </w:r>
          </w:p>
        </w:tc>
      </w:tr>
    </w:tbl>
    <w:p w14:paraId="50EE2C80" w14:textId="77777777" w:rsidR="00723486" w:rsidRDefault="00723486" w:rsidP="009D67C8"/>
    <w:p w14:paraId="61448538" w14:textId="5BAFCE6B" w:rsidR="00541083" w:rsidRDefault="00541083" w:rsidP="002A21E8">
      <w:pPr>
        <w:rPr>
          <w:szCs w:val="24"/>
        </w:rPr>
      </w:pPr>
    </w:p>
    <w:p w14:paraId="2C1F8602" w14:textId="2ABA9B92" w:rsidR="00AA27E4" w:rsidRPr="00F8693C" w:rsidRDefault="006302F6" w:rsidP="00800EB5">
      <w:pPr>
        <w:pStyle w:val="ListParagraph"/>
        <w:numPr>
          <w:ilvl w:val="1"/>
          <w:numId w:val="2"/>
        </w:numPr>
        <w:rPr>
          <w:szCs w:val="24"/>
        </w:rPr>
      </w:pPr>
      <w:r w:rsidRPr="00F8693C">
        <w:rPr>
          <w:szCs w:val="24"/>
        </w:rPr>
        <w:t xml:space="preserve"> </w:t>
      </w:r>
      <w:r w:rsidR="00F5450D" w:rsidRPr="00F8693C">
        <w:rPr>
          <w:szCs w:val="24"/>
        </w:rPr>
        <w:t>A summary of the</w:t>
      </w:r>
      <w:r w:rsidR="002743BA" w:rsidRPr="00F8693C">
        <w:rPr>
          <w:szCs w:val="24"/>
        </w:rPr>
        <w:t xml:space="preserve"> </w:t>
      </w:r>
      <w:r w:rsidRPr="00F8693C">
        <w:rPr>
          <w:szCs w:val="24"/>
        </w:rPr>
        <w:t>additional verbal and written</w:t>
      </w:r>
      <w:r w:rsidR="002743BA" w:rsidRPr="00F8693C">
        <w:rPr>
          <w:szCs w:val="24"/>
        </w:rPr>
        <w:t xml:space="preserve"> feedback </w:t>
      </w:r>
      <w:r w:rsidRPr="00F8693C">
        <w:rPr>
          <w:szCs w:val="24"/>
        </w:rPr>
        <w:t xml:space="preserve">by theme </w:t>
      </w:r>
      <w:r w:rsidR="002743BA" w:rsidRPr="00F8693C">
        <w:rPr>
          <w:szCs w:val="24"/>
        </w:rPr>
        <w:t>from the public questionnaire</w:t>
      </w:r>
      <w:r w:rsidRPr="00F8693C">
        <w:rPr>
          <w:szCs w:val="24"/>
        </w:rPr>
        <w:t>,</w:t>
      </w:r>
      <w:r w:rsidR="002743BA" w:rsidRPr="00F8693C">
        <w:rPr>
          <w:szCs w:val="24"/>
        </w:rPr>
        <w:t xml:space="preserve"> </w:t>
      </w:r>
      <w:r w:rsidR="0071064C" w:rsidRPr="00F8693C">
        <w:rPr>
          <w:szCs w:val="24"/>
        </w:rPr>
        <w:t>in-person</w:t>
      </w:r>
      <w:r w:rsidR="002743BA" w:rsidRPr="00F8693C">
        <w:rPr>
          <w:szCs w:val="24"/>
        </w:rPr>
        <w:t xml:space="preserve"> engagement sessions</w:t>
      </w:r>
      <w:r w:rsidRPr="00F8693C">
        <w:rPr>
          <w:szCs w:val="24"/>
        </w:rPr>
        <w:t xml:space="preserve"> and meetings, and email</w:t>
      </w:r>
      <w:r w:rsidR="002743BA" w:rsidRPr="00F8693C">
        <w:rPr>
          <w:szCs w:val="24"/>
        </w:rPr>
        <w:t xml:space="preserve"> </w:t>
      </w:r>
      <w:r w:rsidRPr="00F8693C">
        <w:rPr>
          <w:szCs w:val="24"/>
        </w:rPr>
        <w:t xml:space="preserve">submission </w:t>
      </w:r>
      <w:r w:rsidR="00C26DCD" w:rsidRPr="00F8693C">
        <w:rPr>
          <w:szCs w:val="24"/>
        </w:rPr>
        <w:t xml:space="preserve">is detailed in Appendix </w:t>
      </w:r>
      <w:r w:rsidR="00E67F91">
        <w:rPr>
          <w:szCs w:val="24"/>
        </w:rPr>
        <w:t>3</w:t>
      </w:r>
      <w:r w:rsidR="00C26DCD" w:rsidRPr="00F8693C">
        <w:rPr>
          <w:szCs w:val="24"/>
        </w:rPr>
        <w:t>.</w:t>
      </w:r>
      <w:r w:rsidR="00370770">
        <w:rPr>
          <w:szCs w:val="24"/>
        </w:rPr>
        <w:t xml:space="preserve"> Responses have also been provided and this information will be added to the Council website following the Cabinet meeting.</w:t>
      </w:r>
    </w:p>
    <w:p w14:paraId="77FFFB6A" w14:textId="325D1036" w:rsidR="00AA27E4" w:rsidRDefault="00AA27E4" w:rsidP="00AA27E4">
      <w:pPr>
        <w:rPr>
          <w:szCs w:val="24"/>
        </w:rPr>
      </w:pPr>
    </w:p>
    <w:p w14:paraId="64F87775" w14:textId="18C4E0BB" w:rsidR="00450552" w:rsidRPr="00084730" w:rsidRDefault="00F8693C" w:rsidP="00800EB5">
      <w:pPr>
        <w:numPr>
          <w:ilvl w:val="1"/>
          <w:numId w:val="12"/>
        </w:numPr>
        <w:rPr>
          <w:rFonts w:eastAsia="Calibri" w:cs="Arial"/>
          <w:szCs w:val="24"/>
        </w:rPr>
      </w:pPr>
      <w:r>
        <w:t xml:space="preserve">As detailed above 57% of those who responded to the questionnaire were in favour of the plans for the tennis courts. </w:t>
      </w:r>
      <w:r w:rsidR="00B9532B">
        <w:t xml:space="preserve">The consultation feedback included comments about the need for tennis courts to be renovated which will help to increase usage and the benefits of having a booking system </w:t>
      </w:r>
      <w:r w:rsidR="003D22A2">
        <w:t>in helping to ensure everyone has the opportunity to use the tennis courts.</w:t>
      </w:r>
      <w:r w:rsidR="00B9532B">
        <w:t xml:space="preserve"> </w:t>
      </w:r>
      <w:r>
        <w:t xml:space="preserve">The introduction of pay and play sessions was, however, </w:t>
      </w:r>
      <w:r w:rsidR="00370770">
        <w:t>split more evenly</w:t>
      </w:r>
      <w:r w:rsidR="00C275DB">
        <w:t xml:space="preserve"> with </w:t>
      </w:r>
      <w:r w:rsidR="00E35EE2">
        <w:t>50.9</w:t>
      </w:r>
      <w:r>
        <w:t xml:space="preserve">% of respondees </w:t>
      </w:r>
      <w:r w:rsidR="00C275DB">
        <w:t>not in favour of any charging</w:t>
      </w:r>
      <w:r>
        <w:t xml:space="preserve">. Of </w:t>
      </w:r>
      <w:r w:rsidR="00C275DB">
        <w:t>the 49</w:t>
      </w:r>
      <w:r w:rsidR="00E35EE2">
        <w:t>.1</w:t>
      </w:r>
      <w:r w:rsidR="00C275DB">
        <w:t>% who did support the requirement for some charges</w:t>
      </w:r>
      <w:r>
        <w:t xml:space="preserve"> the majority (2</w:t>
      </w:r>
      <w:r w:rsidR="00E35EE2">
        <w:t>6.7</w:t>
      </w:r>
      <w:r>
        <w:t xml:space="preserve">%) specified £3-5 per hour. </w:t>
      </w:r>
      <w:bookmarkStart w:id="3" w:name="_Hlk115762286"/>
      <w:r w:rsidR="00BA78EA">
        <w:t>As a result of</w:t>
      </w:r>
      <w:r>
        <w:t xml:space="preserve"> this feedback the Council </w:t>
      </w:r>
      <w:r w:rsidR="00FD222B">
        <w:t xml:space="preserve">would </w:t>
      </w:r>
      <w:r>
        <w:t xml:space="preserve">specify that the maximum court hire is £5 per hour including during peak periods (weekday evenings and weekends). </w:t>
      </w:r>
      <w:bookmarkStart w:id="4" w:name="_Hlk115762307"/>
      <w:bookmarkEnd w:id="3"/>
      <w:r w:rsidR="00143FE7">
        <w:t xml:space="preserve">This level of the charging is the same or less for pay and play sessions for adults </w:t>
      </w:r>
      <w:r w:rsidR="000C6D90">
        <w:t>that are charged by</w:t>
      </w:r>
      <w:r w:rsidR="00143FE7">
        <w:t xml:space="preserve"> neighbouring London Boroughs. </w:t>
      </w:r>
      <w:bookmarkEnd w:id="4"/>
      <w:r w:rsidR="00143FE7">
        <w:t xml:space="preserve">The London Borough of Hillingdon, for example, charges £5 per hour and the London Borough of Brent charges £8 per hour. </w:t>
      </w:r>
      <w:bookmarkStart w:id="5" w:name="_Hlk115762331"/>
      <w:r w:rsidR="00143FE7">
        <w:t xml:space="preserve">Concessionary rates for court hire </w:t>
      </w:r>
      <w:r w:rsidR="00FD222B">
        <w:t>would</w:t>
      </w:r>
      <w:r w:rsidR="00143FE7">
        <w:t xml:space="preserve"> also be stipulated for children under 18, adults over 65, disabled people, and those claiming universal credit. </w:t>
      </w:r>
      <w:r>
        <w:t xml:space="preserve">In response to the concerns raised regarding hire charges being unaffordable for some residents </w:t>
      </w:r>
      <w:r w:rsidR="004B7DCF">
        <w:t xml:space="preserve">the Council </w:t>
      </w:r>
      <w:r w:rsidR="00FD222B">
        <w:t>would</w:t>
      </w:r>
      <w:r w:rsidR="004B7DCF">
        <w:t xml:space="preserve"> </w:t>
      </w:r>
      <w:r w:rsidR="00F13CB8">
        <w:t>use the tender process to maximise the number of coach</w:t>
      </w:r>
      <w:r w:rsidR="00C537C0">
        <w:t>-</w:t>
      </w:r>
      <w:r w:rsidR="00F13CB8">
        <w:t>led free sessions that would be offered by prospective tennis operators.</w:t>
      </w:r>
      <w:r w:rsidR="00B517B7">
        <w:t xml:space="preserve"> </w:t>
      </w:r>
      <w:bookmarkStart w:id="6" w:name="_Hlk115762366"/>
      <w:bookmarkEnd w:id="5"/>
      <w:r w:rsidR="00084730" w:rsidRPr="00084730">
        <w:rPr>
          <w:szCs w:val="24"/>
        </w:rPr>
        <w:t xml:space="preserve">The </w:t>
      </w:r>
      <w:r w:rsidR="00084730">
        <w:rPr>
          <w:szCs w:val="24"/>
        </w:rPr>
        <w:t xml:space="preserve">exact </w:t>
      </w:r>
      <w:r w:rsidR="00084730" w:rsidRPr="00084730">
        <w:rPr>
          <w:szCs w:val="24"/>
        </w:rPr>
        <w:t xml:space="preserve">pricing strategy to be introduced for the tennis courts at West Harrow Recreation Ground will be dependent on the current grant agreement in place with the London Marathon Trust Fund for these </w:t>
      </w:r>
      <w:r w:rsidR="007C20DC" w:rsidRPr="00084730">
        <w:rPr>
          <w:szCs w:val="24"/>
        </w:rPr>
        <w:t>courts.</w:t>
      </w:r>
      <w:r w:rsidR="007C20DC">
        <w:t xml:space="preserve"> The</w:t>
      </w:r>
      <w:r w:rsidR="00BA78EA">
        <w:t xml:space="preserve"> public consultation also identified that </w:t>
      </w:r>
      <w:r w:rsidR="00A52905">
        <w:t>several</w:t>
      </w:r>
      <w:r w:rsidR="00BA78EA">
        <w:t xml:space="preserve"> </w:t>
      </w:r>
      <w:r w:rsidR="00C275DB">
        <w:t xml:space="preserve">of </w:t>
      </w:r>
      <w:r w:rsidR="00BA78EA">
        <w:t xml:space="preserve">the tennis courts in the parks have been used for other purposes </w:t>
      </w:r>
      <w:r w:rsidR="00A52905">
        <w:t xml:space="preserve">such as for football </w:t>
      </w:r>
      <w:r w:rsidR="00BA78EA">
        <w:t xml:space="preserve">for several years. </w:t>
      </w:r>
      <w:r w:rsidR="008F7D89">
        <w:t xml:space="preserve">There was also some feedback, however, that the courts shouldn’t be used for other sports as it can cause damage to the courts. </w:t>
      </w:r>
      <w:r w:rsidR="00450552" w:rsidRPr="00450552">
        <w:t xml:space="preserve">Whilst all the courts will eventually become </w:t>
      </w:r>
      <w:r w:rsidR="00C275DB">
        <w:t>unusable</w:t>
      </w:r>
      <w:r w:rsidR="00450552" w:rsidRPr="00450552">
        <w:t xml:space="preserve"> for any purpose if they are not renovated/maintained</w:t>
      </w:r>
      <w:r w:rsidR="00450552" w:rsidRPr="00084730">
        <w:rPr>
          <w:rFonts w:cs="Arial"/>
          <w:szCs w:val="24"/>
        </w:rPr>
        <w:t xml:space="preserve">, </w:t>
      </w:r>
      <w:r w:rsidR="00450552" w:rsidRPr="00084730">
        <w:rPr>
          <w:rFonts w:eastAsia="Calibri" w:cs="Arial"/>
          <w:szCs w:val="24"/>
        </w:rPr>
        <w:lastRenderedPageBreak/>
        <w:t>the council is developing a new Indoor and Outdoor Sports Facility Strategy which will support our ability to secure future funds to invest in other sporting activities in the parks.</w:t>
      </w:r>
    </w:p>
    <w:bookmarkEnd w:id="6"/>
    <w:p w14:paraId="3EFD296E" w14:textId="77777777" w:rsidR="00F8693C" w:rsidRDefault="00F8693C" w:rsidP="00450552">
      <w:pPr>
        <w:ind w:left="720"/>
      </w:pPr>
    </w:p>
    <w:p w14:paraId="7651B543" w14:textId="2CD95759" w:rsidR="00904631" w:rsidRDefault="00904631" w:rsidP="00800EB5">
      <w:pPr>
        <w:pStyle w:val="ListParagraph"/>
        <w:numPr>
          <w:ilvl w:val="1"/>
          <w:numId w:val="2"/>
        </w:numPr>
      </w:pPr>
      <w:r>
        <w:t xml:space="preserve"> </w:t>
      </w:r>
      <w:bookmarkStart w:id="7" w:name="_Hlk116812521"/>
      <w:r w:rsidR="00047422">
        <w:t xml:space="preserve">A Neighbourhood Community Infrastructure Levy (NCIL) Fund application was submitted in February 2022 by two Edgware Ward Councillors to convert two of the tennis courts at Chandos Recreation Ground into a basketball court and MUGA. </w:t>
      </w:r>
      <w:r w:rsidR="00FF7F52">
        <w:t xml:space="preserve">This </w:t>
      </w:r>
      <w:r w:rsidR="00143FE7">
        <w:t xml:space="preserve">application </w:t>
      </w:r>
      <w:r w:rsidR="00FF7F52">
        <w:t xml:space="preserve">was </w:t>
      </w:r>
      <w:r w:rsidR="00143FE7">
        <w:t xml:space="preserve">submitted </w:t>
      </w:r>
      <w:r w:rsidR="00FF7F52">
        <w:t xml:space="preserve">prior to the LTA courts renovation funding becoming available. </w:t>
      </w:r>
      <w:r w:rsidR="00047422">
        <w:t xml:space="preserve">The application also had the support of the Chandos Park User Group and the need for basketball and football facilities at Chandos Recreation Ground was reiterated during the consultation. As it is necessary to get the agreement of the National Governing Body (NGB) and Sport England to change the use of a facility from one sport to another </w:t>
      </w:r>
      <w:r w:rsidR="007D294B">
        <w:t xml:space="preserve">the Park User Group </w:t>
      </w:r>
      <w:r w:rsidR="00143FE7">
        <w:t xml:space="preserve">then </w:t>
      </w:r>
      <w:r w:rsidR="007D294B">
        <w:t>consult</w:t>
      </w:r>
      <w:r w:rsidR="00143FE7">
        <w:t>ed</w:t>
      </w:r>
      <w:r w:rsidR="007D294B">
        <w:t xml:space="preserve"> with the LTA and Sport England on their plans. Subsequently the LTA agreed that one of the courts could be converted.</w:t>
      </w:r>
      <w:r w:rsidR="00047422">
        <w:t xml:space="preserve"> </w:t>
      </w:r>
      <w:bookmarkStart w:id="8" w:name="_Hlk116812353"/>
      <w:bookmarkEnd w:id="7"/>
      <w:r>
        <w:t>The number of tennis courts at Chandos Recreation Ground to be included in the funding agreement will</w:t>
      </w:r>
      <w:r w:rsidR="00143FE7">
        <w:t>,</w:t>
      </w:r>
      <w:r>
        <w:t xml:space="preserve"> </w:t>
      </w:r>
      <w:r w:rsidR="00143FE7">
        <w:t xml:space="preserve">therefore, </w:t>
      </w:r>
      <w:r w:rsidR="007D294B">
        <w:t xml:space="preserve">now </w:t>
      </w:r>
      <w:r>
        <w:t>be reduced</w:t>
      </w:r>
      <w:r w:rsidR="007D294B">
        <w:t xml:space="preserve">, </w:t>
      </w:r>
      <w:r>
        <w:t>from 3 courts to 2 courts</w:t>
      </w:r>
      <w:bookmarkEnd w:id="8"/>
      <w:r>
        <w:t xml:space="preserve">, meaning that </w:t>
      </w:r>
      <w:r w:rsidR="00A52905">
        <w:t xml:space="preserve">now </w:t>
      </w:r>
      <w:r>
        <w:t xml:space="preserve">a total of 36 courts across 13 </w:t>
      </w:r>
      <w:r w:rsidR="007C709A">
        <w:t>parks</w:t>
      </w:r>
      <w:r>
        <w:t xml:space="preserve"> would be included in the application. The number of courts per park </w:t>
      </w:r>
      <w:r w:rsidR="001F72BD">
        <w:t>will</w:t>
      </w:r>
      <w:r>
        <w:t xml:space="preserve"> now be as follows:</w:t>
      </w:r>
    </w:p>
    <w:p w14:paraId="202957AA" w14:textId="77777777" w:rsidR="00904631" w:rsidRDefault="00904631" w:rsidP="00BD5D9A"/>
    <w:tbl>
      <w:tblPr>
        <w:tblW w:w="7655"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617"/>
        <w:gridCol w:w="2170"/>
      </w:tblGrid>
      <w:tr w:rsidR="00904631" w14:paraId="0F1C4B87" w14:textId="77777777" w:rsidTr="008F5B9A">
        <w:tc>
          <w:tcPr>
            <w:tcW w:w="3868" w:type="dxa"/>
            <w:shd w:val="clear" w:color="auto" w:fill="auto"/>
          </w:tcPr>
          <w:p w14:paraId="07530BB2" w14:textId="77777777" w:rsidR="00904631" w:rsidRPr="00DC2956" w:rsidRDefault="00904631" w:rsidP="008F5B9A">
            <w:pPr>
              <w:rPr>
                <w:b/>
                <w:bCs/>
                <w:szCs w:val="24"/>
              </w:rPr>
            </w:pPr>
            <w:r w:rsidRPr="00DC2956">
              <w:rPr>
                <w:b/>
                <w:bCs/>
                <w:szCs w:val="24"/>
              </w:rPr>
              <w:t>Park</w:t>
            </w:r>
          </w:p>
        </w:tc>
        <w:tc>
          <w:tcPr>
            <w:tcW w:w="1617" w:type="dxa"/>
            <w:shd w:val="clear" w:color="auto" w:fill="auto"/>
          </w:tcPr>
          <w:p w14:paraId="17F454E1" w14:textId="77777777" w:rsidR="00904631" w:rsidRPr="00DC2956" w:rsidRDefault="00904631" w:rsidP="008F5B9A">
            <w:pPr>
              <w:rPr>
                <w:b/>
                <w:bCs/>
                <w:szCs w:val="24"/>
              </w:rPr>
            </w:pPr>
            <w:r w:rsidRPr="00DC2956">
              <w:rPr>
                <w:b/>
                <w:bCs/>
                <w:szCs w:val="24"/>
              </w:rPr>
              <w:t xml:space="preserve">Number of </w:t>
            </w:r>
          </w:p>
          <w:p w14:paraId="1368EB78" w14:textId="77777777" w:rsidR="00904631" w:rsidRPr="00DC2956" w:rsidRDefault="00904631" w:rsidP="008F5B9A">
            <w:pPr>
              <w:rPr>
                <w:b/>
                <w:bCs/>
                <w:szCs w:val="24"/>
              </w:rPr>
            </w:pPr>
            <w:r w:rsidRPr="00DC2956">
              <w:rPr>
                <w:b/>
                <w:bCs/>
                <w:szCs w:val="24"/>
              </w:rPr>
              <w:t>Courts</w:t>
            </w:r>
          </w:p>
        </w:tc>
        <w:tc>
          <w:tcPr>
            <w:tcW w:w="2170" w:type="dxa"/>
            <w:shd w:val="clear" w:color="auto" w:fill="auto"/>
          </w:tcPr>
          <w:p w14:paraId="3B1E291F" w14:textId="77777777" w:rsidR="00904631" w:rsidRPr="00DC2956" w:rsidRDefault="00904631" w:rsidP="008F5B9A">
            <w:pPr>
              <w:rPr>
                <w:b/>
                <w:bCs/>
                <w:szCs w:val="24"/>
              </w:rPr>
            </w:pPr>
            <w:r w:rsidRPr="00DC2956">
              <w:rPr>
                <w:b/>
                <w:bCs/>
                <w:szCs w:val="24"/>
              </w:rPr>
              <w:t>Current Condition</w:t>
            </w:r>
          </w:p>
        </w:tc>
      </w:tr>
      <w:tr w:rsidR="00904631" w14:paraId="64F48CE4" w14:textId="77777777" w:rsidTr="008F5B9A">
        <w:tc>
          <w:tcPr>
            <w:tcW w:w="3868" w:type="dxa"/>
            <w:shd w:val="clear" w:color="auto" w:fill="auto"/>
          </w:tcPr>
          <w:p w14:paraId="4B8A3589" w14:textId="77777777" w:rsidR="00904631" w:rsidRPr="00DC2956" w:rsidRDefault="00904631" w:rsidP="008F5B9A">
            <w:pPr>
              <w:rPr>
                <w:szCs w:val="24"/>
              </w:rPr>
            </w:pPr>
            <w:r w:rsidRPr="00DC2956">
              <w:rPr>
                <w:szCs w:val="24"/>
              </w:rPr>
              <w:t>Byron Recreation Ground</w:t>
            </w:r>
          </w:p>
        </w:tc>
        <w:tc>
          <w:tcPr>
            <w:tcW w:w="1617" w:type="dxa"/>
            <w:shd w:val="clear" w:color="auto" w:fill="auto"/>
          </w:tcPr>
          <w:p w14:paraId="1034AB27" w14:textId="77777777" w:rsidR="00904631" w:rsidRPr="00DC2956" w:rsidRDefault="00904631" w:rsidP="008F5B9A">
            <w:pPr>
              <w:rPr>
                <w:szCs w:val="24"/>
              </w:rPr>
            </w:pPr>
            <w:r w:rsidRPr="00DC2956">
              <w:rPr>
                <w:szCs w:val="24"/>
              </w:rPr>
              <w:t>3</w:t>
            </w:r>
          </w:p>
        </w:tc>
        <w:tc>
          <w:tcPr>
            <w:tcW w:w="2170" w:type="dxa"/>
            <w:shd w:val="clear" w:color="auto" w:fill="auto"/>
          </w:tcPr>
          <w:p w14:paraId="4F96BD9A" w14:textId="77777777" w:rsidR="00904631" w:rsidRPr="00DC2956" w:rsidRDefault="00904631" w:rsidP="008F5B9A">
            <w:pPr>
              <w:rPr>
                <w:szCs w:val="24"/>
              </w:rPr>
            </w:pPr>
            <w:r w:rsidRPr="00DC2956">
              <w:rPr>
                <w:szCs w:val="24"/>
              </w:rPr>
              <w:t>Unplayable</w:t>
            </w:r>
          </w:p>
        </w:tc>
      </w:tr>
      <w:tr w:rsidR="00904631" w14:paraId="1F5F3B17" w14:textId="77777777" w:rsidTr="008F5B9A">
        <w:tc>
          <w:tcPr>
            <w:tcW w:w="3868" w:type="dxa"/>
            <w:shd w:val="clear" w:color="auto" w:fill="auto"/>
          </w:tcPr>
          <w:p w14:paraId="14CDFFC4" w14:textId="77777777" w:rsidR="00904631" w:rsidRPr="00DC2956" w:rsidRDefault="00904631" w:rsidP="008F5B9A">
            <w:pPr>
              <w:rPr>
                <w:szCs w:val="24"/>
              </w:rPr>
            </w:pPr>
            <w:r w:rsidRPr="00DC2956">
              <w:rPr>
                <w:szCs w:val="24"/>
              </w:rPr>
              <w:t>Centenary Park</w:t>
            </w:r>
          </w:p>
        </w:tc>
        <w:tc>
          <w:tcPr>
            <w:tcW w:w="1617" w:type="dxa"/>
            <w:shd w:val="clear" w:color="auto" w:fill="auto"/>
          </w:tcPr>
          <w:p w14:paraId="3DD9BC20" w14:textId="77777777" w:rsidR="00904631" w:rsidRPr="00DC2956" w:rsidRDefault="00904631" w:rsidP="008F5B9A">
            <w:pPr>
              <w:rPr>
                <w:szCs w:val="24"/>
              </w:rPr>
            </w:pPr>
            <w:r w:rsidRPr="00DC2956">
              <w:rPr>
                <w:szCs w:val="24"/>
              </w:rPr>
              <w:t>2</w:t>
            </w:r>
          </w:p>
        </w:tc>
        <w:tc>
          <w:tcPr>
            <w:tcW w:w="2170" w:type="dxa"/>
            <w:shd w:val="clear" w:color="auto" w:fill="auto"/>
          </w:tcPr>
          <w:p w14:paraId="6512DAC2" w14:textId="77777777" w:rsidR="00904631" w:rsidRPr="00DC2956" w:rsidRDefault="00904631" w:rsidP="008F5B9A">
            <w:pPr>
              <w:rPr>
                <w:szCs w:val="24"/>
              </w:rPr>
            </w:pPr>
            <w:r w:rsidRPr="00DC2956">
              <w:rPr>
                <w:szCs w:val="24"/>
              </w:rPr>
              <w:t>Unplayable</w:t>
            </w:r>
          </w:p>
        </w:tc>
      </w:tr>
      <w:tr w:rsidR="00904631" w14:paraId="7E11B385" w14:textId="77777777" w:rsidTr="008F5B9A">
        <w:tc>
          <w:tcPr>
            <w:tcW w:w="3868" w:type="dxa"/>
            <w:shd w:val="clear" w:color="auto" w:fill="auto"/>
          </w:tcPr>
          <w:p w14:paraId="236AA970" w14:textId="77777777" w:rsidR="00904631" w:rsidRPr="00DC2956" w:rsidRDefault="00904631" w:rsidP="008F5B9A">
            <w:pPr>
              <w:rPr>
                <w:szCs w:val="24"/>
              </w:rPr>
            </w:pPr>
            <w:r w:rsidRPr="00DC2956">
              <w:rPr>
                <w:szCs w:val="24"/>
              </w:rPr>
              <w:t>Chandos Recreation Ground</w:t>
            </w:r>
          </w:p>
        </w:tc>
        <w:tc>
          <w:tcPr>
            <w:tcW w:w="1617" w:type="dxa"/>
            <w:shd w:val="clear" w:color="auto" w:fill="auto"/>
          </w:tcPr>
          <w:p w14:paraId="4DF2FD7C" w14:textId="1EA83B56" w:rsidR="00904631" w:rsidRPr="00DC2956" w:rsidRDefault="00904631" w:rsidP="008F5B9A">
            <w:pPr>
              <w:rPr>
                <w:szCs w:val="24"/>
              </w:rPr>
            </w:pPr>
            <w:r>
              <w:rPr>
                <w:szCs w:val="24"/>
              </w:rPr>
              <w:t>2</w:t>
            </w:r>
          </w:p>
        </w:tc>
        <w:tc>
          <w:tcPr>
            <w:tcW w:w="2170" w:type="dxa"/>
            <w:shd w:val="clear" w:color="auto" w:fill="auto"/>
          </w:tcPr>
          <w:p w14:paraId="7DF3690B" w14:textId="77777777" w:rsidR="00904631" w:rsidRPr="00DC2956" w:rsidRDefault="00904631" w:rsidP="008F5B9A">
            <w:pPr>
              <w:rPr>
                <w:szCs w:val="24"/>
              </w:rPr>
            </w:pPr>
            <w:r w:rsidRPr="00DC2956">
              <w:rPr>
                <w:szCs w:val="24"/>
              </w:rPr>
              <w:t>Average</w:t>
            </w:r>
          </w:p>
        </w:tc>
      </w:tr>
      <w:tr w:rsidR="00904631" w14:paraId="408599FA" w14:textId="77777777" w:rsidTr="008F5B9A">
        <w:tc>
          <w:tcPr>
            <w:tcW w:w="3868" w:type="dxa"/>
            <w:shd w:val="clear" w:color="auto" w:fill="auto"/>
          </w:tcPr>
          <w:p w14:paraId="0820DE25" w14:textId="77777777" w:rsidR="00904631" w:rsidRPr="00DC2956" w:rsidRDefault="00904631" w:rsidP="008F5B9A">
            <w:pPr>
              <w:rPr>
                <w:szCs w:val="24"/>
              </w:rPr>
            </w:pPr>
            <w:r w:rsidRPr="00DC2956">
              <w:rPr>
                <w:szCs w:val="24"/>
              </w:rPr>
              <w:t>Harrow Recreation Ground</w:t>
            </w:r>
          </w:p>
        </w:tc>
        <w:tc>
          <w:tcPr>
            <w:tcW w:w="1617" w:type="dxa"/>
            <w:shd w:val="clear" w:color="auto" w:fill="auto"/>
          </w:tcPr>
          <w:p w14:paraId="6FF6E969" w14:textId="77777777" w:rsidR="00904631" w:rsidRPr="00DC2956" w:rsidRDefault="00904631" w:rsidP="008F5B9A">
            <w:pPr>
              <w:rPr>
                <w:szCs w:val="24"/>
              </w:rPr>
            </w:pPr>
            <w:r w:rsidRPr="00DC2956">
              <w:rPr>
                <w:szCs w:val="24"/>
              </w:rPr>
              <w:t>4</w:t>
            </w:r>
          </w:p>
        </w:tc>
        <w:tc>
          <w:tcPr>
            <w:tcW w:w="2170" w:type="dxa"/>
            <w:shd w:val="clear" w:color="auto" w:fill="auto"/>
          </w:tcPr>
          <w:p w14:paraId="6E655548" w14:textId="77777777" w:rsidR="00904631" w:rsidRPr="00DC2956" w:rsidRDefault="00904631" w:rsidP="008F5B9A">
            <w:pPr>
              <w:rPr>
                <w:szCs w:val="24"/>
              </w:rPr>
            </w:pPr>
            <w:r w:rsidRPr="00DC2956">
              <w:rPr>
                <w:szCs w:val="24"/>
              </w:rPr>
              <w:t>Very Poor</w:t>
            </w:r>
          </w:p>
        </w:tc>
      </w:tr>
      <w:tr w:rsidR="00904631" w14:paraId="50705B67" w14:textId="77777777" w:rsidTr="008F5B9A">
        <w:tc>
          <w:tcPr>
            <w:tcW w:w="3868" w:type="dxa"/>
            <w:shd w:val="clear" w:color="auto" w:fill="auto"/>
          </w:tcPr>
          <w:p w14:paraId="6070D82C" w14:textId="77777777" w:rsidR="00904631" w:rsidRPr="00DC2956" w:rsidRDefault="00904631" w:rsidP="008F5B9A">
            <w:pPr>
              <w:rPr>
                <w:szCs w:val="24"/>
              </w:rPr>
            </w:pPr>
            <w:r w:rsidRPr="00DC2956">
              <w:rPr>
                <w:szCs w:val="24"/>
              </w:rPr>
              <w:t>Harrow Weald Recreation Ground</w:t>
            </w:r>
          </w:p>
        </w:tc>
        <w:tc>
          <w:tcPr>
            <w:tcW w:w="1617" w:type="dxa"/>
            <w:shd w:val="clear" w:color="auto" w:fill="auto"/>
          </w:tcPr>
          <w:p w14:paraId="6421ED58" w14:textId="77777777" w:rsidR="00904631" w:rsidRPr="00DC2956" w:rsidRDefault="00904631" w:rsidP="008F5B9A">
            <w:pPr>
              <w:rPr>
                <w:szCs w:val="24"/>
              </w:rPr>
            </w:pPr>
            <w:r w:rsidRPr="00DC2956">
              <w:rPr>
                <w:szCs w:val="24"/>
              </w:rPr>
              <w:t>4</w:t>
            </w:r>
          </w:p>
        </w:tc>
        <w:tc>
          <w:tcPr>
            <w:tcW w:w="2170" w:type="dxa"/>
            <w:shd w:val="clear" w:color="auto" w:fill="auto"/>
          </w:tcPr>
          <w:p w14:paraId="049B2F40" w14:textId="77777777" w:rsidR="00904631" w:rsidRPr="00DC2956" w:rsidRDefault="00904631" w:rsidP="008F5B9A">
            <w:pPr>
              <w:rPr>
                <w:szCs w:val="24"/>
              </w:rPr>
            </w:pPr>
            <w:r w:rsidRPr="00DC2956">
              <w:rPr>
                <w:szCs w:val="24"/>
              </w:rPr>
              <w:t>Average</w:t>
            </w:r>
          </w:p>
        </w:tc>
      </w:tr>
      <w:tr w:rsidR="00904631" w14:paraId="388CA09D" w14:textId="77777777" w:rsidTr="008F5B9A">
        <w:tc>
          <w:tcPr>
            <w:tcW w:w="3868" w:type="dxa"/>
            <w:shd w:val="clear" w:color="auto" w:fill="auto"/>
          </w:tcPr>
          <w:p w14:paraId="016F5E41" w14:textId="77777777" w:rsidR="00904631" w:rsidRPr="00DC2956" w:rsidRDefault="00904631" w:rsidP="008F5B9A">
            <w:pPr>
              <w:rPr>
                <w:szCs w:val="24"/>
              </w:rPr>
            </w:pPr>
            <w:r w:rsidRPr="00DC2956">
              <w:rPr>
                <w:szCs w:val="24"/>
              </w:rPr>
              <w:t>Headstone Manor Recreation Ground</w:t>
            </w:r>
          </w:p>
        </w:tc>
        <w:tc>
          <w:tcPr>
            <w:tcW w:w="1617" w:type="dxa"/>
            <w:shd w:val="clear" w:color="auto" w:fill="auto"/>
          </w:tcPr>
          <w:p w14:paraId="287FA34E" w14:textId="77777777" w:rsidR="00904631" w:rsidRPr="00DC2956" w:rsidRDefault="00904631" w:rsidP="008F5B9A">
            <w:pPr>
              <w:rPr>
                <w:szCs w:val="24"/>
              </w:rPr>
            </w:pPr>
            <w:r w:rsidRPr="00DC2956">
              <w:rPr>
                <w:szCs w:val="24"/>
              </w:rPr>
              <w:t>6</w:t>
            </w:r>
          </w:p>
        </w:tc>
        <w:tc>
          <w:tcPr>
            <w:tcW w:w="2170" w:type="dxa"/>
            <w:shd w:val="clear" w:color="auto" w:fill="auto"/>
          </w:tcPr>
          <w:p w14:paraId="43A8A9F3" w14:textId="77777777" w:rsidR="00904631" w:rsidRPr="00DC2956" w:rsidRDefault="00904631" w:rsidP="008F5B9A">
            <w:pPr>
              <w:rPr>
                <w:szCs w:val="24"/>
              </w:rPr>
            </w:pPr>
            <w:r w:rsidRPr="00DC2956">
              <w:rPr>
                <w:szCs w:val="24"/>
              </w:rPr>
              <w:t>Unplayable</w:t>
            </w:r>
          </w:p>
        </w:tc>
      </w:tr>
      <w:tr w:rsidR="00904631" w14:paraId="33FFCDB5" w14:textId="77777777" w:rsidTr="008F5B9A">
        <w:tc>
          <w:tcPr>
            <w:tcW w:w="3868" w:type="dxa"/>
            <w:shd w:val="clear" w:color="auto" w:fill="auto"/>
          </w:tcPr>
          <w:p w14:paraId="05FA7437" w14:textId="77777777" w:rsidR="00904631" w:rsidRPr="00DC2956" w:rsidRDefault="00904631" w:rsidP="008F5B9A">
            <w:pPr>
              <w:rPr>
                <w:szCs w:val="24"/>
              </w:rPr>
            </w:pPr>
            <w:r w:rsidRPr="00DC2956">
              <w:rPr>
                <w:szCs w:val="24"/>
              </w:rPr>
              <w:t>Kenton Recreation Ground</w:t>
            </w:r>
          </w:p>
        </w:tc>
        <w:tc>
          <w:tcPr>
            <w:tcW w:w="1617" w:type="dxa"/>
            <w:shd w:val="clear" w:color="auto" w:fill="auto"/>
          </w:tcPr>
          <w:p w14:paraId="744918E6" w14:textId="77777777" w:rsidR="00904631" w:rsidRPr="00DC2956" w:rsidRDefault="00904631" w:rsidP="008F5B9A">
            <w:pPr>
              <w:rPr>
                <w:szCs w:val="24"/>
              </w:rPr>
            </w:pPr>
            <w:r w:rsidRPr="00DC2956">
              <w:rPr>
                <w:szCs w:val="24"/>
              </w:rPr>
              <w:t>2</w:t>
            </w:r>
          </w:p>
        </w:tc>
        <w:tc>
          <w:tcPr>
            <w:tcW w:w="2170" w:type="dxa"/>
            <w:shd w:val="clear" w:color="auto" w:fill="auto"/>
          </w:tcPr>
          <w:p w14:paraId="334D353A" w14:textId="77777777" w:rsidR="00904631" w:rsidRPr="00DC2956" w:rsidRDefault="00904631" w:rsidP="008F5B9A">
            <w:pPr>
              <w:rPr>
                <w:szCs w:val="24"/>
              </w:rPr>
            </w:pPr>
            <w:r w:rsidRPr="00DC2956">
              <w:rPr>
                <w:szCs w:val="24"/>
              </w:rPr>
              <w:t>Average</w:t>
            </w:r>
          </w:p>
        </w:tc>
      </w:tr>
      <w:tr w:rsidR="00904631" w14:paraId="67EB97A5" w14:textId="77777777" w:rsidTr="008F5B9A">
        <w:tc>
          <w:tcPr>
            <w:tcW w:w="3868" w:type="dxa"/>
            <w:shd w:val="clear" w:color="auto" w:fill="auto"/>
          </w:tcPr>
          <w:p w14:paraId="77837836" w14:textId="77777777" w:rsidR="00904631" w:rsidRPr="00DC2956" w:rsidRDefault="00904631" w:rsidP="008F5B9A">
            <w:pPr>
              <w:rPr>
                <w:szCs w:val="24"/>
              </w:rPr>
            </w:pPr>
            <w:r w:rsidRPr="00DC2956">
              <w:rPr>
                <w:szCs w:val="24"/>
              </w:rPr>
              <w:t>Montesole Playing Fields</w:t>
            </w:r>
          </w:p>
        </w:tc>
        <w:tc>
          <w:tcPr>
            <w:tcW w:w="1617" w:type="dxa"/>
            <w:shd w:val="clear" w:color="auto" w:fill="auto"/>
          </w:tcPr>
          <w:p w14:paraId="09A79932" w14:textId="77777777" w:rsidR="00904631" w:rsidRPr="00DC2956" w:rsidRDefault="00904631" w:rsidP="008F5B9A">
            <w:pPr>
              <w:rPr>
                <w:szCs w:val="24"/>
              </w:rPr>
            </w:pPr>
            <w:r w:rsidRPr="00DC2956">
              <w:rPr>
                <w:szCs w:val="24"/>
              </w:rPr>
              <w:t>2</w:t>
            </w:r>
          </w:p>
        </w:tc>
        <w:tc>
          <w:tcPr>
            <w:tcW w:w="2170" w:type="dxa"/>
            <w:shd w:val="clear" w:color="auto" w:fill="auto"/>
          </w:tcPr>
          <w:p w14:paraId="7DACC417" w14:textId="77777777" w:rsidR="00904631" w:rsidRPr="00DC2956" w:rsidRDefault="00904631" w:rsidP="008F5B9A">
            <w:pPr>
              <w:rPr>
                <w:szCs w:val="24"/>
              </w:rPr>
            </w:pPr>
            <w:r w:rsidRPr="00DC2956">
              <w:rPr>
                <w:szCs w:val="24"/>
              </w:rPr>
              <w:t>Average</w:t>
            </w:r>
          </w:p>
        </w:tc>
      </w:tr>
      <w:tr w:rsidR="00904631" w14:paraId="22136804" w14:textId="77777777" w:rsidTr="008F5B9A">
        <w:tc>
          <w:tcPr>
            <w:tcW w:w="3868" w:type="dxa"/>
            <w:shd w:val="clear" w:color="auto" w:fill="auto"/>
          </w:tcPr>
          <w:p w14:paraId="5425875B" w14:textId="77777777" w:rsidR="00904631" w:rsidRPr="00DC2956" w:rsidRDefault="00904631" w:rsidP="008F5B9A">
            <w:pPr>
              <w:rPr>
                <w:szCs w:val="24"/>
              </w:rPr>
            </w:pPr>
            <w:r w:rsidRPr="00DC2956">
              <w:rPr>
                <w:szCs w:val="24"/>
              </w:rPr>
              <w:t>Pinner Village Gardens</w:t>
            </w:r>
          </w:p>
        </w:tc>
        <w:tc>
          <w:tcPr>
            <w:tcW w:w="1617" w:type="dxa"/>
            <w:shd w:val="clear" w:color="auto" w:fill="auto"/>
          </w:tcPr>
          <w:p w14:paraId="3EC695E9" w14:textId="77777777" w:rsidR="00904631" w:rsidRPr="00DC2956" w:rsidRDefault="00904631" w:rsidP="008F5B9A">
            <w:pPr>
              <w:rPr>
                <w:szCs w:val="24"/>
              </w:rPr>
            </w:pPr>
            <w:r w:rsidRPr="00DC2956">
              <w:rPr>
                <w:szCs w:val="24"/>
              </w:rPr>
              <w:t>2</w:t>
            </w:r>
          </w:p>
        </w:tc>
        <w:tc>
          <w:tcPr>
            <w:tcW w:w="2170" w:type="dxa"/>
            <w:shd w:val="clear" w:color="auto" w:fill="auto"/>
          </w:tcPr>
          <w:p w14:paraId="6371DC0A" w14:textId="77777777" w:rsidR="00904631" w:rsidRPr="00DC2956" w:rsidRDefault="00904631" w:rsidP="008F5B9A">
            <w:pPr>
              <w:rPr>
                <w:szCs w:val="24"/>
              </w:rPr>
            </w:pPr>
            <w:r w:rsidRPr="00DC2956">
              <w:rPr>
                <w:szCs w:val="24"/>
              </w:rPr>
              <w:t>Good</w:t>
            </w:r>
          </w:p>
        </w:tc>
      </w:tr>
      <w:tr w:rsidR="00904631" w14:paraId="66478A97" w14:textId="77777777" w:rsidTr="008F5B9A">
        <w:tc>
          <w:tcPr>
            <w:tcW w:w="3868" w:type="dxa"/>
            <w:shd w:val="clear" w:color="auto" w:fill="auto"/>
          </w:tcPr>
          <w:p w14:paraId="5D8A2902" w14:textId="77777777" w:rsidR="00904631" w:rsidRPr="00DC2956" w:rsidRDefault="00904631" w:rsidP="008F5B9A">
            <w:pPr>
              <w:rPr>
                <w:szCs w:val="24"/>
              </w:rPr>
            </w:pPr>
            <w:r w:rsidRPr="00DC2956">
              <w:rPr>
                <w:szCs w:val="24"/>
              </w:rPr>
              <w:t>Queensbury Recreation Ground</w:t>
            </w:r>
          </w:p>
        </w:tc>
        <w:tc>
          <w:tcPr>
            <w:tcW w:w="1617" w:type="dxa"/>
            <w:shd w:val="clear" w:color="auto" w:fill="auto"/>
          </w:tcPr>
          <w:p w14:paraId="18541D7A" w14:textId="77777777" w:rsidR="00904631" w:rsidRPr="00DC2956" w:rsidRDefault="00904631" w:rsidP="008F5B9A">
            <w:pPr>
              <w:rPr>
                <w:szCs w:val="24"/>
              </w:rPr>
            </w:pPr>
            <w:r w:rsidRPr="00DC2956">
              <w:rPr>
                <w:szCs w:val="24"/>
              </w:rPr>
              <w:t>2</w:t>
            </w:r>
          </w:p>
        </w:tc>
        <w:tc>
          <w:tcPr>
            <w:tcW w:w="2170" w:type="dxa"/>
            <w:shd w:val="clear" w:color="auto" w:fill="auto"/>
          </w:tcPr>
          <w:p w14:paraId="6DFB8C70" w14:textId="77777777" w:rsidR="00904631" w:rsidRPr="00DC2956" w:rsidRDefault="00904631" w:rsidP="008F5B9A">
            <w:pPr>
              <w:rPr>
                <w:szCs w:val="24"/>
              </w:rPr>
            </w:pPr>
            <w:r w:rsidRPr="00DC2956">
              <w:rPr>
                <w:szCs w:val="24"/>
              </w:rPr>
              <w:t>Disappeared except old fence parts and posts</w:t>
            </w:r>
          </w:p>
        </w:tc>
      </w:tr>
      <w:tr w:rsidR="00904631" w14:paraId="4C225E52" w14:textId="77777777" w:rsidTr="008F5B9A">
        <w:tc>
          <w:tcPr>
            <w:tcW w:w="3868" w:type="dxa"/>
            <w:shd w:val="clear" w:color="auto" w:fill="auto"/>
          </w:tcPr>
          <w:p w14:paraId="619C9DE4" w14:textId="77777777" w:rsidR="00904631" w:rsidRPr="00DC2956" w:rsidRDefault="00904631" w:rsidP="008F5B9A">
            <w:pPr>
              <w:rPr>
                <w:szCs w:val="24"/>
              </w:rPr>
            </w:pPr>
            <w:r w:rsidRPr="00DC2956">
              <w:rPr>
                <w:szCs w:val="24"/>
              </w:rPr>
              <w:t>Rayners Mead</w:t>
            </w:r>
          </w:p>
        </w:tc>
        <w:tc>
          <w:tcPr>
            <w:tcW w:w="1617" w:type="dxa"/>
            <w:shd w:val="clear" w:color="auto" w:fill="auto"/>
          </w:tcPr>
          <w:p w14:paraId="50622844" w14:textId="77777777" w:rsidR="00904631" w:rsidRPr="00DC2956" w:rsidRDefault="00904631" w:rsidP="008F5B9A">
            <w:pPr>
              <w:rPr>
                <w:szCs w:val="24"/>
              </w:rPr>
            </w:pPr>
            <w:r w:rsidRPr="00DC2956">
              <w:rPr>
                <w:szCs w:val="24"/>
              </w:rPr>
              <w:t>2</w:t>
            </w:r>
          </w:p>
        </w:tc>
        <w:tc>
          <w:tcPr>
            <w:tcW w:w="2170" w:type="dxa"/>
            <w:shd w:val="clear" w:color="auto" w:fill="auto"/>
          </w:tcPr>
          <w:p w14:paraId="60AF9CE1" w14:textId="77777777" w:rsidR="00904631" w:rsidRPr="00DC2956" w:rsidRDefault="00904631" w:rsidP="008F5B9A">
            <w:pPr>
              <w:rPr>
                <w:szCs w:val="24"/>
              </w:rPr>
            </w:pPr>
            <w:r w:rsidRPr="00DC2956">
              <w:rPr>
                <w:szCs w:val="24"/>
              </w:rPr>
              <w:t>Very Good</w:t>
            </w:r>
          </w:p>
        </w:tc>
      </w:tr>
      <w:tr w:rsidR="00904631" w14:paraId="3C1EC4DA" w14:textId="77777777" w:rsidTr="008F5B9A">
        <w:tc>
          <w:tcPr>
            <w:tcW w:w="3868" w:type="dxa"/>
            <w:shd w:val="clear" w:color="auto" w:fill="auto"/>
          </w:tcPr>
          <w:p w14:paraId="5D894FEC" w14:textId="77777777" w:rsidR="00904631" w:rsidRPr="00DC2956" w:rsidRDefault="00904631" w:rsidP="008F5B9A">
            <w:pPr>
              <w:rPr>
                <w:szCs w:val="24"/>
              </w:rPr>
            </w:pPr>
            <w:r w:rsidRPr="00DC2956">
              <w:rPr>
                <w:szCs w:val="24"/>
              </w:rPr>
              <w:t>Roxeth Recreation Ground</w:t>
            </w:r>
          </w:p>
        </w:tc>
        <w:tc>
          <w:tcPr>
            <w:tcW w:w="1617" w:type="dxa"/>
            <w:shd w:val="clear" w:color="auto" w:fill="auto"/>
          </w:tcPr>
          <w:p w14:paraId="77CBEC4B" w14:textId="77777777" w:rsidR="00904631" w:rsidRPr="00DC2956" w:rsidRDefault="00904631" w:rsidP="008F5B9A">
            <w:pPr>
              <w:rPr>
                <w:szCs w:val="24"/>
              </w:rPr>
            </w:pPr>
            <w:r w:rsidRPr="00DC2956">
              <w:rPr>
                <w:szCs w:val="24"/>
              </w:rPr>
              <w:t>2</w:t>
            </w:r>
          </w:p>
        </w:tc>
        <w:tc>
          <w:tcPr>
            <w:tcW w:w="2170" w:type="dxa"/>
            <w:shd w:val="clear" w:color="auto" w:fill="auto"/>
          </w:tcPr>
          <w:p w14:paraId="6534F819" w14:textId="77777777" w:rsidR="00904631" w:rsidRPr="00DC2956" w:rsidRDefault="00904631" w:rsidP="008F5B9A">
            <w:pPr>
              <w:rPr>
                <w:szCs w:val="24"/>
              </w:rPr>
            </w:pPr>
            <w:r w:rsidRPr="00DC2956">
              <w:rPr>
                <w:szCs w:val="24"/>
              </w:rPr>
              <w:t>Average</w:t>
            </w:r>
          </w:p>
        </w:tc>
      </w:tr>
      <w:tr w:rsidR="00904631" w14:paraId="25317B86" w14:textId="77777777" w:rsidTr="008F5B9A">
        <w:tc>
          <w:tcPr>
            <w:tcW w:w="3868" w:type="dxa"/>
            <w:shd w:val="clear" w:color="auto" w:fill="auto"/>
          </w:tcPr>
          <w:p w14:paraId="0372BD02" w14:textId="77777777" w:rsidR="00904631" w:rsidRPr="00DC2956" w:rsidRDefault="00904631" w:rsidP="008F5B9A">
            <w:pPr>
              <w:rPr>
                <w:color w:val="FF0000"/>
                <w:szCs w:val="24"/>
              </w:rPr>
            </w:pPr>
            <w:r w:rsidRPr="00DC2956">
              <w:rPr>
                <w:szCs w:val="24"/>
              </w:rPr>
              <w:t>West Harrow Recreation Ground</w:t>
            </w:r>
          </w:p>
        </w:tc>
        <w:tc>
          <w:tcPr>
            <w:tcW w:w="1617" w:type="dxa"/>
            <w:shd w:val="clear" w:color="auto" w:fill="auto"/>
          </w:tcPr>
          <w:p w14:paraId="63C9B916" w14:textId="77777777" w:rsidR="00904631" w:rsidRPr="00DC2956" w:rsidRDefault="00904631" w:rsidP="008F5B9A">
            <w:pPr>
              <w:rPr>
                <w:szCs w:val="24"/>
              </w:rPr>
            </w:pPr>
            <w:r w:rsidRPr="00DC2956">
              <w:rPr>
                <w:szCs w:val="24"/>
              </w:rPr>
              <w:t>3</w:t>
            </w:r>
          </w:p>
        </w:tc>
        <w:tc>
          <w:tcPr>
            <w:tcW w:w="2170" w:type="dxa"/>
            <w:shd w:val="clear" w:color="auto" w:fill="auto"/>
          </w:tcPr>
          <w:p w14:paraId="4CCE6625" w14:textId="77777777" w:rsidR="00904631" w:rsidRPr="00DC2956" w:rsidRDefault="00904631" w:rsidP="008F5B9A">
            <w:pPr>
              <w:rPr>
                <w:szCs w:val="24"/>
              </w:rPr>
            </w:pPr>
            <w:r w:rsidRPr="00DC2956">
              <w:rPr>
                <w:szCs w:val="24"/>
              </w:rPr>
              <w:t>Very Good</w:t>
            </w:r>
          </w:p>
        </w:tc>
      </w:tr>
    </w:tbl>
    <w:p w14:paraId="765C9499" w14:textId="77777777" w:rsidR="00904631" w:rsidRDefault="00904631" w:rsidP="00904631">
      <w:pPr>
        <w:rPr>
          <w:szCs w:val="24"/>
        </w:rPr>
      </w:pPr>
    </w:p>
    <w:p w14:paraId="52714481" w14:textId="03835A8C" w:rsidR="001F72BD" w:rsidRDefault="001F72BD" w:rsidP="00FD222B">
      <w:pPr>
        <w:ind w:left="1080"/>
        <w:rPr>
          <w:rFonts w:eastAsia="Calibri" w:cs="Arial"/>
          <w:color w:val="000000" w:themeColor="text1"/>
          <w:szCs w:val="24"/>
        </w:rPr>
      </w:pPr>
      <w:r>
        <w:t xml:space="preserve">Newton Park West has not been included in the parks to have their tennis courts renovated because the LTA </w:t>
      </w:r>
      <w:r w:rsidRPr="001F72BD">
        <w:rPr>
          <w:rFonts w:eastAsia="Calibri" w:cs="Arial"/>
          <w:color w:val="000000" w:themeColor="text1"/>
          <w:szCs w:val="24"/>
        </w:rPr>
        <w:t xml:space="preserve">will only renovate courts where there is </w:t>
      </w:r>
      <w:r w:rsidR="00F74848">
        <w:rPr>
          <w:rFonts w:eastAsia="Calibri" w:cs="Arial"/>
          <w:color w:val="000000" w:themeColor="text1"/>
          <w:szCs w:val="24"/>
        </w:rPr>
        <w:t>an existing</w:t>
      </w:r>
      <w:r w:rsidRPr="001F72BD">
        <w:rPr>
          <w:rFonts w:eastAsia="Calibri" w:cs="Arial"/>
          <w:color w:val="000000" w:themeColor="text1"/>
          <w:szCs w:val="24"/>
        </w:rPr>
        <w:t xml:space="preserve"> hard tarmac area to renovate. </w:t>
      </w:r>
    </w:p>
    <w:p w14:paraId="61354EF3" w14:textId="5522B2EB" w:rsidR="00FD222B" w:rsidRDefault="00FD222B" w:rsidP="00E334A4">
      <w:pPr>
        <w:ind w:left="720"/>
        <w:rPr>
          <w:rFonts w:eastAsia="Calibri" w:cs="Arial"/>
          <w:color w:val="000000" w:themeColor="text1"/>
          <w:szCs w:val="24"/>
        </w:rPr>
      </w:pPr>
    </w:p>
    <w:p w14:paraId="4BAD578D" w14:textId="02AA4493" w:rsidR="00904631" w:rsidRPr="00FD222B" w:rsidRDefault="00FD222B" w:rsidP="00800EB5">
      <w:pPr>
        <w:pStyle w:val="ListParagraph"/>
        <w:numPr>
          <w:ilvl w:val="1"/>
          <w:numId w:val="2"/>
        </w:numPr>
        <w:rPr>
          <w:rFonts w:eastAsia="Calibri" w:cs="Arial"/>
          <w:color w:val="000000" w:themeColor="text1"/>
          <w:szCs w:val="24"/>
        </w:rPr>
      </w:pPr>
      <w:r w:rsidRPr="00FD222B">
        <w:rPr>
          <w:rFonts w:eastAsia="Calibri" w:cs="Arial"/>
          <w:color w:val="000000" w:themeColor="text1"/>
          <w:szCs w:val="24"/>
        </w:rPr>
        <w:t>The planned timescale for renovating the tennis courts and beginning a contract with a tennis operator to manage the refurbished courts would be by Spring 2023.</w:t>
      </w:r>
    </w:p>
    <w:p w14:paraId="279B653F" w14:textId="0F87F7D5" w:rsidR="00FD222B" w:rsidRDefault="00FD222B" w:rsidP="00FD222B">
      <w:pPr>
        <w:ind w:left="720"/>
        <w:rPr>
          <w:rFonts w:eastAsia="Calibri" w:cs="Arial"/>
          <w:color w:val="000000" w:themeColor="text1"/>
          <w:szCs w:val="24"/>
        </w:rPr>
      </w:pPr>
    </w:p>
    <w:p w14:paraId="54301D10" w14:textId="4CA7140B" w:rsidR="00D906C2" w:rsidRPr="00904A2A" w:rsidRDefault="00D906C2" w:rsidP="00904A2A">
      <w:pPr>
        <w:pStyle w:val="ListParagraph"/>
        <w:numPr>
          <w:ilvl w:val="0"/>
          <w:numId w:val="2"/>
        </w:numPr>
        <w:rPr>
          <w:b/>
          <w:bCs/>
          <w:sz w:val="28"/>
          <w:szCs w:val="28"/>
        </w:rPr>
      </w:pPr>
      <w:r w:rsidRPr="00904A2A">
        <w:rPr>
          <w:b/>
          <w:bCs/>
          <w:sz w:val="28"/>
          <w:szCs w:val="28"/>
        </w:rPr>
        <w:t>Options Considered</w:t>
      </w:r>
    </w:p>
    <w:p w14:paraId="67734A2B" w14:textId="5A8FED16" w:rsidR="00477E5B" w:rsidRDefault="00477E5B" w:rsidP="00477E5B">
      <w:pPr>
        <w:pStyle w:val="ListParagraph"/>
        <w:numPr>
          <w:ilvl w:val="0"/>
          <w:numId w:val="19"/>
        </w:numPr>
        <w:contextualSpacing/>
        <w:rPr>
          <w:bCs/>
        </w:rPr>
      </w:pPr>
      <w:r>
        <w:rPr>
          <w:bCs/>
        </w:rPr>
        <w:t xml:space="preserve">To note the outcome of the consultation on the Investment in Harrow’s Tennis Court Infrastructure.  To proceed with the proposals approved in the </w:t>
      </w:r>
      <w:r>
        <w:rPr>
          <w:bCs/>
        </w:rPr>
        <w:lastRenderedPageBreak/>
        <w:t>‘Investment in Harrow’s Tennis Infrastructure’ Cabinet Report of June 2022 with a majority of respondents to the public consultation being in favour of the proposals. The total number of tennis courts to be included will now be 36. This will involve entering into a funding agreement with the Lawn Tennis Association (LTA) for capital funding to renovate Harrow’s tennis courts at several Harrow park</w:t>
      </w:r>
      <w:r w:rsidR="006B533E">
        <w:rPr>
          <w:bCs/>
        </w:rPr>
        <w:t>s</w:t>
      </w:r>
      <w:r>
        <w:rPr>
          <w:bCs/>
        </w:rPr>
        <w:t>. To introduce a booking system and pricing strategy that is informed by the consultation (in respect of charging, concessions and free coach led access for use of the courts</w:t>
      </w:r>
      <w:r w:rsidR="004E7646">
        <w:rPr>
          <w:bCs/>
        </w:rPr>
        <w:t>) and</w:t>
      </w:r>
      <w:r>
        <w:rPr>
          <w:bCs/>
        </w:rPr>
        <w:t xml:space="preserve"> appointing an operator to manage the renovated tennis courts following the completion of a tendering process.</w:t>
      </w:r>
    </w:p>
    <w:p w14:paraId="4CF15339" w14:textId="77777777" w:rsidR="00477E5B" w:rsidRDefault="00477E5B" w:rsidP="00477E5B">
      <w:pPr>
        <w:rPr>
          <w:bCs/>
        </w:rPr>
      </w:pPr>
    </w:p>
    <w:p w14:paraId="6112985B" w14:textId="77777777" w:rsidR="00477E5B" w:rsidRDefault="00477E5B" w:rsidP="00477E5B">
      <w:pPr>
        <w:rPr>
          <w:bCs/>
        </w:rPr>
      </w:pPr>
      <w:r>
        <w:rPr>
          <w:bCs/>
        </w:rPr>
        <w:t>This option is recommended</w:t>
      </w:r>
    </w:p>
    <w:p w14:paraId="216BD56B" w14:textId="77777777" w:rsidR="00477E5B" w:rsidRDefault="00477E5B" w:rsidP="00477E5B">
      <w:pPr>
        <w:rPr>
          <w:bCs/>
        </w:rPr>
      </w:pPr>
    </w:p>
    <w:p w14:paraId="40E73519" w14:textId="77777777" w:rsidR="00477E5B" w:rsidRPr="00DF3A49" w:rsidRDefault="00477E5B" w:rsidP="00477E5B">
      <w:pPr>
        <w:pStyle w:val="ListParagraph"/>
        <w:numPr>
          <w:ilvl w:val="0"/>
          <w:numId w:val="19"/>
        </w:numPr>
        <w:contextualSpacing/>
        <w:rPr>
          <w:bCs/>
        </w:rPr>
      </w:pPr>
      <w:r w:rsidRPr="00DF3A49">
        <w:rPr>
          <w:bCs/>
        </w:rPr>
        <w:t>To ignore the results</w:t>
      </w:r>
      <w:r w:rsidRPr="00C21A40">
        <w:rPr>
          <w:bCs/>
        </w:rPr>
        <w:t xml:space="preserve"> of the Public Consultation. </w:t>
      </w:r>
    </w:p>
    <w:p w14:paraId="07B2C9D6" w14:textId="77777777" w:rsidR="004E7646" w:rsidRDefault="004E7646" w:rsidP="00477E5B">
      <w:pPr>
        <w:rPr>
          <w:bCs/>
        </w:rPr>
      </w:pPr>
    </w:p>
    <w:p w14:paraId="00ECE803" w14:textId="7454BC66" w:rsidR="00477E5B" w:rsidRDefault="00477E5B" w:rsidP="00477E5B">
      <w:pPr>
        <w:rPr>
          <w:bCs/>
        </w:rPr>
      </w:pPr>
      <w:r>
        <w:rPr>
          <w:bCs/>
        </w:rPr>
        <w:t>This is option is not recommended.</w:t>
      </w:r>
    </w:p>
    <w:p w14:paraId="71CC848C" w14:textId="77777777" w:rsidR="00820F38" w:rsidRPr="00D4797A" w:rsidRDefault="00820F38" w:rsidP="00477E5B">
      <w:pPr>
        <w:rPr>
          <w:bCs/>
        </w:rPr>
      </w:pPr>
    </w:p>
    <w:p w14:paraId="701B60DF" w14:textId="7D8E6817" w:rsidR="00307F76" w:rsidRPr="00816D70" w:rsidRDefault="00C55377" w:rsidP="00816D70">
      <w:pPr>
        <w:spacing w:before="240"/>
        <w:rPr>
          <w:b/>
          <w:sz w:val="28"/>
          <w:szCs w:val="28"/>
        </w:rPr>
      </w:pPr>
      <w:r>
        <w:rPr>
          <w:b/>
          <w:sz w:val="28"/>
          <w:szCs w:val="28"/>
        </w:rPr>
        <w:t>5</w:t>
      </w:r>
      <w:r w:rsidR="00816D70">
        <w:rPr>
          <w:b/>
          <w:sz w:val="28"/>
          <w:szCs w:val="28"/>
        </w:rPr>
        <w:t xml:space="preserve">. </w:t>
      </w:r>
      <w:r w:rsidR="00307F76" w:rsidRPr="00816D70">
        <w:rPr>
          <w:b/>
          <w:sz w:val="28"/>
          <w:szCs w:val="28"/>
        </w:rPr>
        <w:t xml:space="preserve">Ward Councillors’ comments </w:t>
      </w:r>
    </w:p>
    <w:p w14:paraId="6560431F" w14:textId="0B837017" w:rsidR="00330832" w:rsidRDefault="00795BEA" w:rsidP="00EB7201">
      <w:pPr>
        <w:spacing w:before="240"/>
        <w:ind w:left="1080" w:hanging="360"/>
        <w:rPr>
          <w:rFonts w:ascii="Segoe UI" w:hAnsi="Segoe UI" w:cs="Segoe UI"/>
          <w:sz w:val="18"/>
          <w:szCs w:val="18"/>
        </w:rPr>
      </w:pPr>
      <w:r>
        <w:rPr>
          <w:bCs/>
          <w:szCs w:val="24"/>
        </w:rPr>
        <w:t>5.1</w:t>
      </w:r>
      <w:r>
        <w:rPr>
          <w:bCs/>
          <w:szCs w:val="24"/>
        </w:rPr>
        <w:tab/>
      </w:r>
      <w:r w:rsidR="00A41F87">
        <w:rPr>
          <w:bCs/>
          <w:szCs w:val="24"/>
        </w:rPr>
        <w:t xml:space="preserve">The recommendations in this report would affect all wards. </w:t>
      </w:r>
      <w:r w:rsidR="000E4B1E">
        <w:rPr>
          <w:bCs/>
          <w:szCs w:val="24"/>
        </w:rPr>
        <w:t xml:space="preserve">Ward Councillors </w:t>
      </w:r>
      <w:r w:rsidR="000A29ED">
        <w:rPr>
          <w:bCs/>
          <w:szCs w:val="24"/>
        </w:rPr>
        <w:t xml:space="preserve">were consulted as part of the </w:t>
      </w:r>
      <w:r w:rsidR="000E4B1E">
        <w:rPr>
          <w:bCs/>
          <w:szCs w:val="24"/>
        </w:rPr>
        <w:t>consultation process.</w:t>
      </w:r>
      <w:r w:rsidR="00330832">
        <w:rPr>
          <w:rStyle w:val="eop"/>
          <w:rFonts w:cs="Arial"/>
          <w:color w:val="0000FF"/>
        </w:rPr>
        <w:t> </w:t>
      </w:r>
    </w:p>
    <w:p w14:paraId="38FBDCB2" w14:textId="74C4F77F" w:rsidR="00A81E19" w:rsidRDefault="00A81E19" w:rsidP="00800EB5">
      <w:pPr>
        <w:pStyle w:val="Heading3"/>
        <w:numPr>
          <w:ilvl w:val="0"/>
          <w:numId w:val="8"/>
        </w:numPr>
        <w:spacing w:before="480" w:after="240"/>
      </w:pPr>
      <w:r>
        <w:t>Risk Management Implications</w:t>
      </w:r>
    </w:p>
    <w:p w14:paraId="6374CE4C" w14:textId="5BB11F80" w:rsidR="002A0BFE" w:rsidRDefault="002A0BFE" w:rsidP="002A0BFE">
      <w:pPr>
        <w:tabs>
          <w:tab w:val="left" w:pos="5610"/>
        </w:tabs>
        <w:ind w:left="720" w:right="81"/>
        <w:rPr>
          <w:rFonts w:cs="Arial"/>
          <w:szCs w:val="24"/>
          <w:lang w:val="en-US"/>
        </w:rPr>
      </w:pPr>
      <w:bookmarkStart w:id="9" w:name="_Hlk60923477"/>
      <w:bookmarkStart w:id="10" w:name="_Hlk60922991"/>
      <w:bookmarkStart w:id="11" w:name="_Hlk60923939"/>
      <w:r>
        <w:rPr>
          <w:rFonts w:cs="Arial"/>
          <w:szCs w:val="24"/>
          <w:lang w:val="en-US"/>
        </w:rPr>
        <w:t xml:space="preserve">6.1 </w:t>
      </w:r>
      <w:r w:rsidR="00820F38">
        <w:rPr>
          <w:rFonts w:cs="Arial"/>
          <w:szCs w:val="24"/>
          <w:lang w:val="en-US"/>
        </w:rPr>
        <w:t>There are no decision risks as this is an information report.</w:t>
      </w:r>
    </w:p>
    <w:bookmarkEnd w:id="9"/>
    <w:bookmarkEnd w:id="10"/>
    <w:bookmarkEnd w:id="11"/>
    <w:p w14:paraId="3F66573A" w14:textId="5A73078A" w:rsidR="002A3FEF" w:rsidRDefault="002A3FEF" w:rsidP="00800EB5">
      <w:pPr>
        <w:pStyle w:val="Heading3"/>
        <w:numPr>
          <w:ilvl w:val="0"/>
          <w:numId w:val="8"/>
        </w:numPr>
        <w:spacing w:before="480" w:after="240"/>
      </w:pPr>
      <w:r>
        <w:t>Procurement Implications</w:t>
      </w:r>
    </w:p>
    <w:p w14:paraId="09F530A6" w14:textId="4F104E6E" w:rsidR="00EF2A95" w:rsidRDefault="00857B05" w:rsidP="00857B05">
      <w:pPr>
        <w:pStyle w:val="ListParagraph"/>
      </w:pPr>
      <w:r>
        <w:t xml:space="preserve">7.1 </w:t>
      </w:r>
      <w:r w:rsidR="00EF2A95">
        <w:t>The procurement process for a tennis courts operator will be carried out</w:t>
      </w:r>
      <w:r>
        <w:t xml:space="preserve"> in   accordance with the Council’s Contract Procedure Rules. This will be treated as a service concession (sub-threshold) contract. The service concession contract award will still be subject to the procurement principles of fairness, transparency, non-discrimination, proportionality, and contestability.</w:t>
      </w:r>
    </w:p>
    <w:p w14:paraId="2FF51415" w14:textId="77777777" w:rsidR="00EF2A95" w:rsidRPr="00EF2A95" w:rsidRDefault="00EF2A95" w:rsidP="00EF2A95"/>
    <w:p w14:paraId="66CD1585" w14:textId="268CAC5A" w:rsidR="00800EB5" w:rsidRDefault="00800EB5" w:rsidP="00CC4C07">
      <w:pPr>
        <w:pStyle w:val="Default"/>
        <w:ind w:left="720"/>
      </w:pPr>
      <w:r>
        <w:t xml:space="preserve">7.2 The Council will follow an Open Procedure route. The proposed top level </w:t>
      </w:r>
    </w:p>
    <w:p w14:paraId="7DBCCA97" w14:textId="001DBEA3" w:rsidR="00800EB5" w:rsidRDefault="00800EB5" w:rsidP="00CC4C07">
      <w:pPr>
        <w:pStyle w:val="Default"/>
        <w:ind w:left="720"/>
      </w:pPr>
      <w:r>
        <w:t xml:space="preserve">       evaluation criteria will be:</w:t>
      </w:r>
    </w:p>
    <w:p w14:paraId="1027366E" w14:textId="4B5FCAD1" w:rsidR="00800EB5" w:rsidRDefault="00800EB5" w:rsidP="00CC4C07">
      <w:pPr>
        <w:pStyle w:val="Default"/>
        <w:ind w:left="720"/>
      </w:pPr>
    </w:p>
    <w:p w14:paraId="34F48641" w14:textId="125B3347" w:rsidR="00800EB5" w:rsidRDefault="00800EB5" w:rsidP="00800EB5">
      <w:pPr>
        <w:pStyle w:val="Default"/>
        <w:numPr>
          <w:ilvl w:val="0"/>
          <w:numId w:val="18"/>
        </w:numPr>
      </w:pPr>
      <w:r>
        <w:t>Price 40%</w:t>
      </w:r>
    </w:p>
    <w:p w14:paraId="4FCAF5CC" w14:textId="5DFB3A11" w:rsidR="00800EB5" w:rsidRDefault="00800EB5" w:rsidP="00800EB5">
      <w:pPr>
        <w:pStyle w:val="Default"/>
        <w:numPr>
          <w:ilvl w:val="0"/>
          <w:numId w:val="18"/>
        </w:numPr>
      </w:pPr>
      <w:r>
        <w:t>Quality 50% (including 5% allocated to Carbon Reduction)</w:t>
      </w:r>
    </w:p>
    <w:p w14:paraId="09EF8069" w14:textId="7B6496C5" w:rsidR="00800EB5" w:rsidRDefault="00800EB5" w:rsidP="00800EB5">
      <w:pPr>
        <w:pStyle w:val="Default"/>
        <w:numPr>
          <w:ilvl w:val="0"/>
          <w:numId w:val="18"/>
        </w:numPr>
      </w:pPr>
      <w:r>
        <w:t>Social Value 10%</w:t>
      </w:r>
    </w:p>
    <w:p w14:paraId="79EDE3B8" w14:textId="0629DC74" w:rsidR="00333FAA" w:rsidRDefault="005C7085" w:rsidP="00800EB5">
      <w:pPr>
        <w:pStyle w:val="Heading3"/>
        <w:numPr>
          <w:ilvl w:val="0"/>
          <w:numId w:val="8"/>
        </w:numPr>
        <w:spacing w:before="480" w:after="240"/>
      </w:pPr>
      <w:r>
        <w:t>L</w:t>
      </w:r>
      <w:r w:rsidR="00333FAA">
        <w:t>egal Implications</w:t>
      </w:r>
    </w:p>
    <w:p w14:paraId="5EBB40C1" w14:textId="77777777" w:rsidR="003F24F2" w:rsidRDefault="003F24F2" w:rsidP="003F24F2">
      <w:pPr>
        <w:pStyle w:val="ListParagraph"/>
        <w:numPr>
          <w:ilvl w:val="1"/>
          <w:numId w:val="3"/>
        </w:numPr>
      </w:pPr>
      <w:r>
        <w:t xml:space="preserve">Section 19 of the </w:t>
      </w:r>
      <w:r w:rsidRPr="009A7498">
        <w:t>Local Government (Miscellaneous Provisions) Act 1976</w:t>
      </w:r>
      <w:r>
        <w:t xml:space="preserve"> empowers the Council to provide recreational and leisure facilities, including indoor and outdoor tennis courts and ancillary facilities and services.</w:t>
      </w:r>
    </w:p>
    <w:p w14:paraId="50B010D1" w14:textId="77777777" w:rsidR="003F24F2" w:rsidRDefault="003F24F2" w:rsidP="003F24F2">
      <w:pPr>
        <w:pStyle w:val="ListParagraph"/>
      </w:pPr>
    </w:p>
    <w:p w14:paraId="0D820090" w14:textId="77777777" w:rsidR="003F24F2" w:rsidRDefault="003F24F2" w:rsidP="003F24F2">
      <w:pPr>
        <w:pStyle w:val="ListParagraph"/>
        <w:numPr>
          <w:ilvl w:val="1"/>
          <w:numId w:val="3"/>
        </w:numPr>
      </w:pPr>
      <w:r>
        <w:t>The Council can also charge for the use of the facilities as it thi</w:t>
      </w:r>
      <w:r w:rsidRPr="00B53393">
        <w:t>nks fit.</w:t>
      </w:r>
    </w:p>
    <w:p w14:paraId="4F5C5799" w14:textId="77777777" w:rsidR="003F24F2" w:rsidRDefault="003F24F2" w:rsidP="003F24F2">
      <w:pPr>
        <w:pStyle w:val="ListParagraph"/>
      </w:pPr>
    </w:p>
    <w:p w14:paraId="2C085368" w14:textId="77777777" w:rsidR="003F24F2" w:rsidRDefault="003F24F2" w:rsidP="003F24F2">
      <w:pPr>
        <w:pStyle w:val="ListParagraph"/>
        <w:numPr>
          <w:ilvl w:val="1"/>
          <w:numId w:val="3"/>
        </w:numPr>
      </w:pPr>
      <w:r>
        <w:lastRenderedPageBreak/>
        <w:t xml:space="preserve">The Council can tender the </w:t>
      </w:r>
      <w:r w:rsidRPr="009E45F4">
        <w:t>manag</w:t>
      </w:r>
      <w:r>
        <w:t>ement</w:t>
      </w:r>
      <w:r w:rsidRPr="009E45F4">
        <w:t xml:space="preserve"> </w:t>
      </w:r>
      <w:r>
        <w:t xml:space="preserve">of </w:t>
      </w:r>
      <w:r w:rsidRPr="009E45F4">
        <w:t xml:space="preserve">facilities for sports and leisure </w:t>
      </w:r>
      <w:r>
        <w:t>and must do so in compliance with public procurement rules where applicable and the Council’s Contract Procedure Rules.</w:t>
      </w:r>
    </w:p>
    <w:p w14:paraId="56748D54" w14:textId="77777777" w:rsidR="003F24F2" w:rsidRDefault="003F24F2" w:rsidP="003F24F2">
      <w:pPr>
        <w:pStyle w:val="ListParagraph"/>
      </w:pPr>
    </w:p>
    <w:p w14:paraId="505EB378" w14:textId="3371C1CE" w:rsidR="003F24F2" w:rsidRDefault="003F24F2" w:rsidP="003F24F2">
      <w:pPr>
        <w:pStyle w:val="ListParagraph"/>
        <w:numPr>
          <w:ilvl w:val="1"/>
          <w:numId w:val="3"/>
        </w:numPr>
      </w:pPr>
      <w:r>
        <w:t>The Council can enter into a funding agreement with the Lawn Tennis Association under section 1 of the Localism Act 2011 and all other enabling powers.</w:t>
      </w:r>
    </w:p>
    <w:p w14:paraId="56E996B9" w14:textId="77777777" w:rsidR="003F24F2" w:rsidRDefault="003F24F2" w:rsidP="003F24F2">
      <w:pPr>
        <w:pStyle w:val="ListParagraph"/>
      </w:pPr>
    </w:p>
    <w:p w14:paraId="5C17E845" w14:textId="77777777" w:rsidR="003F24F2" w:rsidRPr="009A7498" w:rsidRDefault="003F24F2" w:rsidP="003F24F2">
      <w:pPr>
        <w:pStyle w:val="ListParagraph"/>
        <w:numPr>
          <w:ilvl w:val="1"/>
          <w:numId w:val="3"/>
        </w:numPr>
      </w:pPr>
      <w:r>
        <w:t>Legal advice should be sought on the terms of the funding agreement and on then terms of the services concession contract with the operator, and any improvement works contracts.</w:t>
      </w:r>
    </w:p>
    <w:p w14:paraId="790FDE85" w14:textId="77777777" w:rsidR="00333FAA" w:rsidRDefault="00333FAA" w:rsidP="00800EB5">
      <w:pPr>
        <w:pStyle w:val="Heading3"/>
        <w:numPr>
          <w:ilvl w:val="0"/>
          <w:numId w:val="8"/>
        </w:numPr>
        <w:spacing w:before="480" w:after="240"/>
      </w:pPr>
      <w:r>
        <w:t>Financial Implications</w:t>
      </w:r>
    </w:p>
    <w:p w14:paraId="3F0E8C57" w14:textId="102459BB" w:rsidR="005346ED" w:rsidRDefault="000C3495" w:rsidP="00800EB5">
      <w:pPr>
        <w:numPr>
          <w:ilvl w:val="1"/>
          <w:numId w:val="4"/>
        </w:numPr>
      </w:pPr>
      <w:r>
        <w:t xml:space="preserve">Lawn Tennis Association (LTA) and Department Digital, Culture, </w:t>
      </w:r>
      <w:r w:rsidR="008152C6">
        <w:t>Media,</w:t>
      </w:r>
      <w:r>
        <w:t xml:space="preserve"> and Sport (DCMS) have launched the Renovation Fund to renovate tennis courts in parks. Funding applications open in April 2022. </w:t>
      </w:r>
      <w:r w:rsidR="00BF1E5F">
        <w:t xml:space="preserve">36 </w:t>
      </w:r>
      <w:r>
        <w:t xml:space="preserve">tennis courts in 13 parks have been identified as suitable to be included in the funding application. Technical survey </w:t>
      </w:r>
      <w:r w:rsidR="00532644">
        <w:t>has been</w:t>
      </w:r>
      <w:r>
        <w:t xml:space="preserve"> undertaken by LTA to inform the detailed renovation works required</w:t>
      </w:r>
      <w:r w:rsidR="00532644">
        <w:t xml:space="preserve"> and estimated costs</w:t>
      </w:r>
      <w:r>
        <w:t xml:space="preserve">. </w:t>
      </w:r>
      <w:r w:rsidR="00F607E2">
        <w:t xml:space="preserve">Harrow’s </w:t>
      </w:r>
      <w:r w:rsidR="00532644">
        <w:t xml:space="preserve">funding application has been </w:t>
      </w:r>
      <w:r w:rsidR="00F607E2">
        <w:t xml:space="preserve">approved at this Stage </w:t>
      </w:r>
      <w:r w:rsidR="006317C3">
        <w:t>1 of the process.</w:t>
      </w:r>
      <w:r w:rsidR="00AE2EDA">
        <w:t xml:space="preserve"> </w:t>
      </w:r>
      <w:r w:rsidR="007C709A">
        <w:t xml:space="preserve">The funding allocation based on the technical survey is £446K. </w:t>
      </w:r>
      <w:r w:rsidR="00AE2EDA">
        <w:t>The</w:t>
      </w:r>
      <w:r w:rsidR="00532644">
        <w:t xml:space="preserve"> works </w:t>
      </w:r>
      <w:r w:rsidR="00AE2EDA">
        <w:t xml:space="preserve">will </w:t>
      </w:r>
      <w:r w:rsidR="00532644">
        <w:t xml:space="preserve">be procured via the LTA’s National </w:t>
      </w:r>
      <w:r w:rsidR="00804899">
        <w:t>Framework,</w:t>
      </w:r>
      <w:r w:rsidR="00532644">
        <w:t xml:space="preserve"> and </w:t>
      </w:r>
      <w:r w:rsidR="007C709A">
        <w:t xml:space="preserve">the procurement exercise </w:t>
      </w:r>
      <w:r w:rsidR="00AE2EDA">
        <w:t xml:space="preserve">will </w:t>
      </w:r>
      <w:r w:rsidR="00532644">
        <w:t xml:space="preserve">confirm the final costs. </w:t>
      </w:r>
      <w:r w:rsidR="00524418">
        <w:t xml:space="preserve">The </w:t>
      </w:r>
      <w:r w:rsidR="00D100E8">
        <w:t xml:space="preserve">LTA would then complete the final stage of the funding process to confirm the grant award. There is no capital match funding requirement from the Council. </w:t>
      </w:r>
      <w:r w:rsidR="001F6AF4">
        <w:t>In order to ensure that there is no net cost impact in the Capital Programme, t</w:t>
      </w:r>
      <w:r w:rsidR="00D100E8">
        <w:t>he Council would only enter into a funding agreement with the LTA should the full cost</w:t>
      </w:r>
      <w:r w:rsidR="00726CEC">
        <w:t>s</w:t>
      </w:r>
      <w:r w:rsidR="00D100E8">
        <w:t xml:space="preserve"> of renovation be met from their capital grant</w:t>
      </w:r>
      <w:r w:rsidR="00726CEC">
        <w:t xml:space="preserve">. </w:t>
      </w:r>
      <w:r>
        <w:t xml:space="preserve"> </w:t>
      </w:r>
    </w:p>
    <w:p w14:paraId="2C2AC13F" w14:textId="77777777" w:rsidR="005346ED" w:rsidRDefault="005346ED" w:rsidP="005346ED">
      <w:pPr>
        <w:ind w:left="720"/>
      </w:pPr>
    </w:p>
    <w:p w14:paraId="7F4446FB" w14:textId="1D853EC5" w:rsidR="005346ED" w:rsidRDefault="0008018D" w:rsidP="00800EB5">
      <w:pPr>
        <w:numPr>
          <w:ilvl w:val="1"/>
          <w:numId w:val="4"/>
        </w:numPr>
      </w:pPr>
      <w:r>
        <w:t xml:space="preserve">Under the terms and conditions of the grant, there is a requirement to set aside a sinking fund for future replacement of the courts. This is set at £1,200 per court per annum. With </w:t>
      </w:r>
      <w:r w:rsidR="00BF1E5F">
        <w:t xml:space="preserve">36 </w:t>
      </w:r>
      <w:r>
        <w:t>tennis courts in the funding application, the total sinking fund</w:t>
      </w:r>
      <w:r w:rsidR="00465927">
        <w:t xml:space="preserve"> requirement</w:t>
      </w:r>
      <w:r>
        <w:t xml:space="preserve"> is </w:t>
      </w:r>
      <w:r w:rsidR="00BE7BCA">
        <w:t>£</w:t>
      </w:r>
      <w:r w:rsidR="00BF1E5F">
        <w:t>43,200</w:t>
      </w:r>
      <w:r w:rsidR="00BE7BCA">
        <w:t xml:space="preserve"> </w:t>
      </w:r>
      <w:r>
        <w:t>per annum.</w:t>
      </w:r>
    </w:p>
    <w:p w14:paraId="7963F4C1" w14:textId="418B11E3" w:rsidR="005346ED" w:rsidRDefault="005346ED" w:rsidP="005346ED">
      <w:pPr>
        <w:pStyle w:val="ListParagraph"/>
      </w:pPr>
    </w:p>
    <w:p w14:paraId="58988992" w14:textId="45A2077F" w:rsidR="005346ED" w:rsidRDefault="000B661F" w:rsidP="00800EB5">
      <w:pPr>
        <w:numPr>
          <w:ilvl w:val="1"/>
          <w:numId w:val="4"/>
        </w:numPr>
      </w:pPr>
      <w:r>
        <w:t xml:space="preserve">Other on-going running costs include cleaning &amp; litter picking, general repairs, </w:t>
      </w:r>
      <w:r w:rsidR="008152C6">
        <w:t>maintenance,</w:t>
      </w:r>
      <w:r>
        <w:t xml:space="preserve"> and other costs associated with access gates. This is estimated at £</w:t>
      </w:r>
      <w:r w:rsidR="0099461F">
        <w:t>30</w:t>
      </w:r>
      <w:r>
        <w:t xml:space="preserve">k per annum.   </w:t>
      </w:r>
    </w:p>
    <w:p w14:paraId="6EE2790F" w14:textId="77777777" w:rsidR="005346ED" w:rsidRDefault="005346ED" w:rsidP="005346ED">
      <w:pPr>
        <w:ind w:left="720"/>
      </w:pPr>
    </w:p>
    <w:p w14:paraId="38EB6D8F" w14:textId="476E569E" w:rsidR="005346ED" w:rsidRDefault="000B661F" w:rsidP="00800EB5">
      <w:pPr>
        <w:numPr>
          <w:ilvl w:val="1"/>
          <w:numId w:val="4"/>
        </w:numPr>
      </w:pPr>
      <w:r>
        <w:t xml:space="preserve">The introduction of a pay and play scheme will ensure that </w:t>
      </w:r>
      <w:r w:rsidR="00076645">
        <w:t xml:space="preserve">income is generated to fund on-going costs of </w:t>
      </w:r>
      <w:r>
        <w:t>the tennis courts</w:t>
      </w:r>
      <w:r w:rsidR="00076645">
        <w:t xml:space="preserve">. This report recommends the use of a </w:t>
      </w:r>
      <w:r w:rsidR="00DF5CAB">
        <w:t>third-party</w:t>
      </w:r>
      <w:r w:rsidR="00076645">
        <w:t xml:space="preserve"> operator to run the tennis courts via a competitive procurement process, therefore </w:t>
      </w:r>
      <w:r w:rsidR="00465927">
        <w:t>pay and play</w:t>
      </w:r>
      <w:r w:rsidR="00076645">
        <w:t xml:space="preserve"> prices are to be determined by the successful bidder. </w:t>
      </w:r>
      <w:r w:rsidR="00DF5CAB">
        <w:t>However,</w:t>
      </w:r>
      <w:r w:rsidR="00076645">
        <w:t xml:space="preserve"> the pricing strategy will </w:t>
      </w:r>
      <w:r w:rsidR="007C709A">
        <w:t xml:space="preserve">take into consideration the outcomes of the public consultation on </w:t>
      </w:r>
      <w:r w:rsidR="00FC72E4">
        <w:t>prices</w:t>
      </w:r>
      <w:r w:rsidR="007C709A">
        <w:t xml:space="preserve"> that users are prepared to pay an</w:t>
      </w:r>
      <w:r w:rsidR="00FC72E4">
        <w:t>d</w:t>
      </w:r>
      <w:r w:rsidR="007C709A">
        <w:t xml:space="preserve"> on the provision of free coach led sessions targeted at specific groups.</w:t>
      </w:r>
      <w:r w:rsidR="00076645">
        <w:t xml:space="preserve"> </w:t>
      </w:r>
    </w:p>
    <w:p w14:paraId="3AD6E06A" w14:textId="201C1FA0" w:rsidR="005346ED" w:rsidRDefault="005346ED" w:rsidP="005346ED">
      <w:pPr>
        <w:ind w:left="720"/>
      </w:pPr>
    </w:p>
    <w:p w14:paraId="606C232A" w14:textId="52B4097A" w:rsidR="00076645" w:rsidRDefault="00C51F7F" w:rsidP="00800EB5">
      <w:pPr>
        <w:numPr>
          <w:ilvl w:val="1"/>
          <w:numId w:val="4"/>
        </w:numPr>
      </w:pPr>
      <w:r>
        <w:t xml:space="preserve">In order to </w:t>
      </w:r>
      <w:r w:rsidR="00465927">
        <w:t>meet</w:t>
      </w:r>
      <w:r>
        <w:t xml:space="preserve"> the sinking fund</w:t>
      </w:r>
      <w:r w:rsidR="00465927">
        <w:t xml:space="preserve"> requirement</w:t>
      </w:r>
      <w:r>
        <w:t xml:space="preserve"> and direct running costs, a minimum income of £</w:t>
      </w:r>
      <w:r w:rsidR="00BE7BCA">
        <w:t>7</w:t>
      </w:r>
      <w:r w:rsidR="007C709A">
        <w:t>3</w:t>
      </w:r>
      <w:r w:rsidR="00BE7BCA">
        <w:t xml:space="preserve">k </w:t>
      </w:r>
      <w:r>
        <w:t>would be required. For illustration purpose, this level of income could be achieved if around 1</w:t>
      </w:r>
      <w:r w:rsidR="00C77597">
        <w:t>1</w:t>
      </w:r>
      <w:r>
        <w:t xml:space="preserve">% of the operating times of all tennis </w:t>
      </w:r>
      <w:r>
        <w:lastRenderedPageBreak/>
        <w:t xml:space="preserve">courts </w:t>
      </w:r>
      <w:r w:rsidR="00465927">
        <w:t>were</w:t>
      </w:r>
      <w:r>
        <w:t xml:space="preserve"> paid for at an average price of £5 per hour. The table below provides a sensitivity analysis to illustrate the </w:t>
      </w:r>
      <w:r w:rsidR="00465927">
        <w:t>potential income level</w:t>
      </w:r>
      <w:r>
        <w:t xml:space="preserve">. </w:t>
      </w:r>
    </w:p>
    <w:p w14:paraId="2F8DE83D" w14:textId="77777777" w:rsidR="00BE7BCA" w:rsidRDefault="00BE7BCA" w:rsidP="0054590F"/>
    <w:p w14:paraId="721327CD" w14:textId="33049F71" w:rsidR="00BA46C3" w:rsidRDefault="007C709A" w:rsidP="008152C6">
      <w:pPr>
        <w:jc w:val="center"/>
      </w:pPr>
      <w:r>
        <w:rPr>
          <w:noProof/>
        </w:rPr>
        <w:drawing>
          <wp:inline distT="0" distB="0" distL="0" distR="0" wp14:anchorId="53656F7E" wp14:editId="6A7CAFFD">
            <wp:extent cx="5733415" cy="699696"/>
            <wp:effectExtent l="0" t="0" r="635" b="5715"/>
            <wp:docPr id="3" name="Picture 2">
              <a:extLst xmlns:a="http://schemas.openxmlformats.org/drawingml/2006/main">
                <a:ext uri="{FF2B5EF4-FFF2-40B4-BE49-F238E27FC236}">
                  <a16:creationId xmlns:a16="http://schemas.microsoft.com/office/drawing/2014/main" id="{6C220294-1340-47A7-91BD-BDDB34AC6F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C220294-1340-47A7-91BD-BDDB34AC6F2F}"/>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33415" cy="699696"/>
                    </a:xfrm>
                    <a:prstGeom prst="rect">
                      <a:avLst/>
                    </a:prstGeom>
                  </pic:spPr>
                </pic:pic>
              </a:graphicData>
            </a:graphic>
          </wp:inline>
        </w:drawing>
      </w:r>
    </w:p>
    <w:p w14:paraId="63EAD3CA" w14:textId="5FDC7C70" w:rsidR="00BA46C3" w:rsidRDefault="00BA46C3" w:rsidP="0054590F"/>
    <w:p w14:paraId="201E37C2" w14:textId="402CEE65" w:rsidR="005346ED" w:rsidRDefault="001E5BC1" w:rsidP="00800EB5">
      <w:pPr>
        <w:numPr>
          <w:ilvl w:val="1"/>
          <w:numId w:val="4"/>
        </w:numPr>
      </w:pPr>
      <w:r>
        <w:t xml:space="preserve">Other sources of income include annual membership subscriptions and coaching sessions. The exact delivery model will be the responsibility of the </w:t>
      </w:r>
      <w:r w:rsidR="00565BF5">
        <w:t>third-party</w:t>
      </w:r>
      <w:r>
        <w:t xml:space="preserve"> operator.</w:t>
      </w:r>
    </w:p>
    <w:p w14:paraId="424DD4E2" w14:textId="16C27947" w:rsidR="005346ED" w:rsidRDefault="005346ED" w:rsidP="005346ED">
      <w:pPr>
        <w:ind w:left="720"/>
      </w:pPr>
    </w:p>
    <w:p w14:paraId="3EECBFEA" w14:textId="5D5EF5F3" w:rsidR="005346ED" w:rsidRDefault="002146D9" w:rsidP="00800EB5">
      <w:pPr>
        <w:numPr>
          <w:ilvl w:val="1"/>
          <w:numId w:val="4"/>
        </w:numPr>
      </w:pPr>
      <w:r>
        <w:t xml:space="preserve">The proposed procurement strategy will be that the </w:t>
      </w:r>
      <w:r w:rsidR="002E2D83">
        <w:t>third-party</w:t>
      </w:r>
      <w:r>
        <w:t xml:space="preserve"> operator is required to provide a </w:t>
      </w:r>
      <w:r w:rsidR="001D4F6D">
        <w:t xml:space="preserve">fixed </w:t>
      </w:r>
      <w:r>
        <w:t>guaranteed income per annum at a minimum level of £</w:t>
      </w:r>
      <w:r w:rsidR="00BF1E5F">
        <w:t>43</w:t>
      </w:r>
      <w:r w:rsidR="009E40B9">
        <w:t>,</w:t>
      </w:r>
      <w:r w:rsidR="00BF1E5F">
        <w:t xml:space="preserve">200 </w:t>
      </w:r>
      <w:r>
        <w:t>(equivalent to the sinking fund requirement) and propose a profit share arrangement for surplus</w:t>
      </w:r>
      <w:r w:rsidR="001D4F6D">
        <w:t>es</w:t>
      </w:r>
      <w:r>
        <w:t xml:space="preserve"> achieved from the management of the tennis courts. The operator will </w:t>
      </w:r>
      <w:r w:rsidR="001D4F6D">
        <w:t xml:space="preserve">also </w:t>
      </w:r>
      <w:r>
        <w:t>be responsible for the on-going running costs of the courts.</w:t>
      </w:r>
      <w:r w:rsidR="00BC0CC4">
        <w:t xml:space="preserve"> The scheme must operate on the basis of self-financing and does not result in any revenue burden, otherwise </w:t>
      </w:r>
      <w:r w:rsidR="00BC2E2B">
        <w:t xml:space="preserve">it </w:t>
      </w:r>
      <w:r w:rsidR="00BC0CC4">
        <w:t xml:space="preserve">would create a </w:t>
      </w:r>
      <w:r w:rsidR="00000B8C">
        <w:t>financial risk to the Council.</w:t>
      </w:r>
      <w:r w:rsidR="00BC0CC4">
        <w:t xml:space="preserve"> </w:t>
      </w:r>
    </w:p>
    <w:p w14:paraId="1B8B375F" w14:textId="77777777" w:rsidR="005346ED" w:rsidRDefault="005346ED" w:rsidP="005346ED">
      <w:pPr>
        <w:pStyle w:val="ListParagraph"/>
      </w:pPr>
    </w:p>
    <w:p w14:paraId="46D7F64D" w14:textId="50AA5532" w:rsidR="005346ED" w:rsidRDefault="00E17E5E" w:rsidP="00800EB5">
      <w:pPr>
        <w:numPr>
          <w:ilvl w:val="1"/>
          <w:numId w:val="4"/>
        </w:numPr>
      </w:pPr>
      <w:r>
        <w:t xml:space="preserve">The sinking fund will be held in an earmarked reserve for future replacement of the tennis courts, ensuring </w:t>
      </w:r>
      <w:r w:rsidR="00BC2E2B">
        <w:t xml:space="preserve">the </w:t>
      </w:r>
      <w:r w:rsidR="002E2D83">
        <w:t>long-term</w:t>
      </w:r>
      <w:r>
        <w:t xml:space="preserve"> sustainability of the facility. This will ensure that funding is available when capital investment is required in future</w:t>
      </w:r>
      <w:r w:rsidR="00416321">
        <w:t>, avoiding the reliance on capital borrowing.</w:t>
      </w:r>
    </w:p>
    <w:p w14:paraId="6610CA0D" w14:textId="77777777" w:rsidR="005346ED" w:rsidRDefault="005346ED" w:rsidP="005346ED">
      <w:pPr>
        <w:pStyle w:val="ListParagraph"/>
      </w:pPr>
    </w:p>
    <w:p w14:paraId="2D244C03" w14:textId="19C5464D" w:rsidR="002146D9" w:rsidRDefault="00655CC7" w:rsidP="00800EB5">
      <w:pPr>
        <w:numPr>
          <w:ilvl w:val="1"/>
          <w:numId w:val="4"/>
        </w:numPr>
      </w:pPr>
      <w:r>
        <w:t xml:space="preserve">The option of appointing a </w:t>
      </w:r>
      <w:r w:rsidR="009D6451">
        <w:t>third-party</w:t>
      </w:r>
      <w:r>
        <w:t xml:space="preserve"> operator will minimise the financial risks to the Council. Should the tennis courts be managed in-house, there would be customer support, administrative and other </w:t>
      </w:r>
      <w:r w:rsidR="009D6451">
        <w:t>back-office</w:t>
      </w:r>
      <w:r>
        <w:t xml:space="preserve"> costs. </w:t>
      </w:r>
    </w:p>
    <w:p w14:paraId="6484C928" w14:textId="77777777" w:rsidR="00333FAA" w:rsidRDefault="00333FAA" w:rsidP="00800EB5">
      <w:pPr>
        <w:pStyle w:val="Heading3"/>
        <w:numPr>
          <w:ilvl w:val="0"/>
          <w:numId w:val="8"/>
        </w:numPr>
        <w:spacing w:before="480" w:after="240"/>
      </w:pPr>
      <w:r w:rsidRPr="004A2543">
        <w:t>Equalities implications</w:t>
      </w:r>
      <w:r w:rsidR="001C7E35">
        <w:t xml:space="preserve"> </w:t>
      </w:r>
      <w:r w:rsidRPr="00333FAA">
        <w:t>/</w:t>
      </w:r>
      <w:r w:rsidR="001C7E35">
        <w:t xml:space="preserve"> </w:t>
      </w:r>
      <w:r w:rsidRPr="00333FAA">
        <w:t>Public Sector Equality Duty</w:t>
      </w:r>
    </w:p>
    <w:p w14:paraId="62257D83" w14:textId="74C3EF9A" w:rsidR="00016455" w:rsidRDefault="00016455" w:rsidP="00800EB5">
      <w:pPr>
        <w:numPr>
          <w:ilvl w:val="1"/>
          <w:numId w:val="11"/>
        </w:numPr>
        <w:rPr>
          <w:rFonts w:cs="Arial"/>
          <w:lang w:eastAsia="en-GB"/>
        </w:rPr>
      </w:pPr>
      <w:r>
        <w:t xml:space="preserve">An Equalities Impact Assessment (EqIA) has been conducted (Appendix 1). The EqIA identified that the recommended option </w:t>
      </w:r>
      <w:r>
        <w:rPr>
          <w:szCs w:val="24"/>
        </w:rPr>
        <w:t>would not have an adverse impact on any of the protected characteristics. The proposals,</w:t>
      </w:r>
      <w:r>
        <w:rPr>
          <w:rFonts w:cs="Arial"/>
          <w:lang w:eastAsia="en-GB"/>
        </w:rPr>
        <w:t xml:space="preserve"> which will bring all the tennis courts up to a playable standard, will improve access to tennis for the community and will have a positive impact for people of all ages, for those with a disability (with specific sessions for this target group to be held), and for all race/ethnic groups. </w:t>
      </w:r>
      <w:r w:rsidR="00C275DB">
        <w:rPr>
          <w:rFonts w:cs="Arial"/>
          <w:lang w:eastAsia="en-GB"/>
        </w:rPr>
        <w:t xml:space="preserve">The Council would </w:t>
      </w:r>
      <w:r w:rsidR="00C275DB">
        <w:t>use the tender process to maximise the number of coach</w:t>
      </w:r>
      <w:r w:rsidR="00C537C0">
        <w:t>-</w:t>
      </w:r>
      <w:r w:rsidR="00C275DB">
        <w:t>led free sessions that would be offered by prospective tennis operators.</w:t>
      </w:r>
      <w:r w:rsidR="00052BC5">
        <w:rPr>
          <w:rFonts w:cs="Arial"/>
          <w:lang w:eastAsia="en-GB"/>
        </w:rPr>
        <w:t>,</w:t>
      </w:r>
      <w:r>
        <w:rPr>
          <w:rFonts w:cs="Arial"/>
          <w:lang w:eastAsia="en-GB"/>
        </w:rPr>
        <w:t xml:space="preserve"> and the </w:t>
      </w:r>
      <w:r w:rsidR="00052BC5">
        <w:rPr>
          <w:rFonts w:cs="Arial"/>
          <w:lang w:eastAsia="en-GB"/>
        </w:rPr>
        <w:t xml:space="preserve">maximum hourly </w:t>
      </w:r>
      <w:r>
        <w:rPr>
          <w:rFonts w:cs="Arial"/>
          <w:lang w:eastAsia="en-GB"/>
        </w:rPr>
        <w:t>charg</w:t>
      </w:r>
      <w:r w:rsidR="00052BC5">
        <w:rPr>
          <w:rFonts w:cs="Arial"/>
          <w:lang w:eastAsia="en-GB"/>
        </w:rPr>
        <w:t>e</w:t>
      </w:r>
      <w:r>
        <w:rPr>
          <w:rFonts w:cs="Arial"/>
          <w:lang w:eastAsia="en-GB"/>
        </w:rPr>
        <w:t xml:space="preserve"> rate for the play and play sessions </w:t>
      </w:r>
      <w:r w:rsidR="00052BC5">
        <w:rPr>
          <w:rFonts w:cs="Arial"/>
          <w:lang w:eastAsia="en-GB"/>
        </w:rPr>
        <w:t xml:space="preserve">would be £5, with concessionary rates </w:t>
      </w:r>
      <w:r w:rsidR="00F44D11">
        <w:rPr>
          <w:rFonts w:cs="Arial"/>
          <w:lang w:eastAsia="en-GB"/>
        </w:rPr>
        <w:t xml:space="preserve">also </w:t>
      </w:r>
      <w:r w:rsidR="00052BC5">
        <w:rPr>
          <w:rFonts w:cs="Arial"/>
          <w:lang w:eastAsia="en-GB"/>
        </w:rPr>
        <w:t>in place for children under 18, adults over 65, disabled people, and those claiming universal credit.</w:t>
      </w:r>
      <w:r>
        <w:rPr>
          <w:rFonts w:cs="Arial"/>
          <w:lang w:eastAsia="en-GB"/>
        </w:rPr>
        <w:t xml:space="preserve"> Tennis operators would be expected to detail in a tennis development plan what types of coaching sessions they would provide</w:t>
      </w:r>
      <w:r w:rsidR="00BC2E2B">
        <w:rPr>
          <w:rFonts w:cs="Arial"/>
          <w:lang w:eastAsia="en-GB"/>
        </w:rPr>
        <w:t xml:space="preserve"> to meet the needs of the whole community</w:t>
      </w:r>
      <w:r>
        <w:rPr>
          <w:rFonts w:cs="Arial"/>
          <w:lang w:eastAsia="en-GB"/>
        </w:rPr>
        <w:t xml:space="preserve">, including </w:t>
      </w:r>
      <w:r w:rsidR="00BC2E2B">
        <w:rPr>
          <w:rFonts w:cs="Arial"/>
          <w:lang w:eastAsia="en-GB"/>
        </w:rPr>
        <w:t xml:space="preserve">some single sex sessions, and sessions </w:t>
      </w:r>
      <w:r>
        <w:rPr>
          <w:rFonts w:cs="Arial"/>
          <w:lang w:eastAsia="en-GB"/>
        </w:rPr>
        <w:t xml:space="preserve">for people with disabilities, as part of the procurement process for a tennis operator. The operator would also be expected to offer competitive tennis opportunities. </w:t>
      </w:r>
    </w:p>
    <w:p w14:paraId="79D2862F" w14:textId="77777777" w:rsidR="00820F38" w:rsidRDefault="00820F38" w:rsidP="00820F38">
      <w:pPr>
        <w:rPr>
          <w:rFonts w:cs="Arial"/>
          <w:lang w:eastAsia="en-GB"/>
        </w:rPr>
      </w:pPr>
    </w:p>
    <w:p w14:paraId="14E9868D" w14:textId="77777777" w:rsidR="00333FAA" w:rsidRDefault="00333FAA" w:rsidP="000B7C66">
      <w:pPr>
        <w:pStyle w:val="Heading2"/>
        <w:spacing w:before="480" w:after="240"/>
      </w:pPr>
      <w:r>
        <w:lastRenderedPageBreak/>
        <w:t>Section 3 - Statutory Officer Clearance</w:t>
      </w:r>
    </w:p>
    <w:p w14:paraId="5DDB9102" w14:textId="77777777" w:rsidR="00A66326" w:rsidRPr="003647A2" w:rsidRDefault="00A66326" w:rsidP="00A66326">
      <w:pPr>
        <w:rPr>
          <w:bCs/>
          <w:sz w:val="28"/>
        </w:rPr>
      </w:pPr>
      <w:r w:rsidRPr="00A66326">
        <w:rPr>
          <w:b/>
          <w:sz w:val="28"/>
        </w:rPr>
        <w:t xml:space="preserve">Statutory Officer:  </w:t>
      </w:r>
      <w:r w:rsidR="003647A2">
        <w:rPr>
          <w:bCs/>
          <w:sz w:val="28"/>
        </w:rPr>
        <w:t>Jessie Man</w:t>
      </w:r>
    </w:p>
    <w:p w14:paraId="4B56E5FF" w14:textId="77777777" w:rsidR="00A66326" w:rsidRPr="00A66326" w:rsidRDefault="00A66326" w:rsidP="00A66326">
      <w:r w:rsidRPr="00A66326">
        <w:t>Signed on behalf of the Chief Financial Officer</w:t>
      </w:r>
    </w:p>
    <w:p w14:paraId="3D0B77D3" w14:textId="578B0316" w:rsidR="00A66326" w:rsidRPr="001314E2" w:rsidRDefault="00A66326" w:rsidP="00A66326">
      <w:pPr>
        <w:spacing w:after="480"/>
        <w:rPr>
          <w:bCs/>
          <w:sz w:val="28"/>
        </w:rPr>
      </w:pPr>
      <w:r w:rsidRPr="00A66326">
        <w:rPr>
          <w:b/>
          <w:sz w:val="28"/>
        </w:rPr>
        <w:t xml:space="preserve">Date:  </w:t>
      </w:r>
      <w:r w:rsidR="001314E2">
        <w:rPr>
          <w:bCs/>
          <w:sz w:val="28"/>
        </w:rPr>
        <w:t>21/10/2</w:t>
      </w:r>
      <w:r w:rsidR="001B3948">
        <w:rPr>
          <w:bCs/>
          <w:sz w:val="28"/>
        </w:rPr>
        <w:t>2</w:t>
      </w:r>
    </w:p>
    <w:p w14:paraId="36631B40" w14:textId="31935135" w:rsidR="007F0122" w:rsidRPr="00A74CE3" w:rsidRDefault="00A66326" w:rsidP="007F0122">
      <w:pPr>
        <w:rPr>
          <w:bCs/>
          <w:color w:val="FF0000"/>
          <w:sz w:val="28"/>
        </w:rPr>
      </w:pPr>
      <w:r w:rsidRPr="00A66326">
        <w:rPr>
          <w:b/>
          <w:sz w:val="28"/>
        </w:rPr>
        <w:t xml:space="preserve">Statutory Officer:  </w:t>
      </w:r>
      <w:r w:rsidR="007F0122" w:rsidRPr="007F0122">
        <w:rPr>
          <w:bCs/>
          <w:sz w:val="28"/>
        </w:rPr>
        <w:t xml:space="preserve"> </w:t>
      </w:r>
      <w:r w:rsidR="007F0122">
        <w:rPr>
          <w:bCs/>
          <w:sz w:val="28"/>
        </w:rPr>
        <w:t>Stephen Dorrian</w:t>
      </w:r>
    </w:p>
    <w:p w14:paraId="428553DA" w14:textId="77777777" w:rsidR="00A66326" w:rsidRPr="00A66326" w:rsidRDefault="00A66326" w:rsidP="00A66326">
      <w:r w:rsidRPr="00A66326">
        <w:t>Signed on behalf of the Monitoring Officer</w:t>
      </w:r>
    </w:p>
    <w:p w14:paraId="4F7C0746" w14:textId="72E9C642" w:rsidR="00A66326" w:rsidRPr="001314E2" w:rsidRDefault="00A66326" w:rsidP="00A66326">
      <w:pPr>
        <w:spacing w:after="480"/>
        <w:rPr>
          <w:bCs/>
          <w:sz w:val="28"/>
        </w:rPr>
      </w:pPr>
      <w:r w:rsidRPr="00A66326">
        <w:rPr>
          <w:b/>
          <w:sz w:val="28"/>
        </w:rPr>
        <w:t xml:space="preserve">Date:  </w:t>
      </w:r>
      <w:r w:rsidR="001314E2">
        <w:rPr>
          <w:bCs/>
          <w:sz w:val="28"/>
        </w:rPr>
        <w:t>25/10/2</w:t>
      </w:r>
      <w:r w:rsidR="001B3948">
        <w:rPr>
          <w:bCs/>
          <w:sz w:val="28"/>
        </w:rPr>
        <w:t>2</w:t>
      </w:r>
    </w:p>
    <w:p w14:paraId="642FDC46" w14:textId="77777777" w:rsidR="00BF5AFA" w:rsidRPr="003647A2" w:rsidRDefault="00BF5AFA" w:rsidP="00BF5AFA">
      <w:pPr>
        <w:rPr>
          <w:bCs/>
          <w:sz w:val="28"/>
        </w:rPr>
      </w:pPr>
      <w:r>
        <w:rPr>
          <w:b/>
          <w:sz w:val="28"/>
        </w:rPr>
        <w:t>Chief</w:t>
      </w:r>
      <w:r w:rsidRPr="00A66326">
        <w:rPr>
          <w:b/>
          <w:sz w:val="28"/>
        </w:rPr>
        <w:t xml:space="preserve"> Officer:  </w:t>
      </w:r>
      <w:r w:rsidR="003647A2">
        <w:rPr>
          <w:bCs/>
          <w:sz w:val="28"/>
        </w:rPr>
        <w:t>Dipti Patel</w:t>
      </w:r>
    </w:p>
    <w:p w14:paraId="1B224D16" w14:textId="77777777" w:rsidR="00BF5AFA" w:rsidRPr="00A66326" w:rsidRDefault="00BF5AFA" w:rsidP="00BF5AFA">
      <w:r w:rsidRPr="00A66326">
        <w:t xml:space="preserve">Signed </w:t>
      </w:r>
      <w:r>
        <w:t>off by the Corporate Director</w:t>
      </w:r>
      <w:r w:rsidR="003647A2">
        <w:t xml:space="preserve"> - </w:t>
      </w:r>
      <w:r w:rsidR="001C7612">
        <w:t>Place</w:t>
      </w:r>
    </w:p>
    <w:p w14:paraId="00527E84" w14:textId="0D67D5B4" w:rsidR="00BF5AFA" w:rsidRPr="00A66326" w:rsidRDefault="00BF5AFA" w:rsidP="00BF5AFA">
      <w:pPr>
        <w:spacing w:after="480"/>
        <w:rPr>
          <w:sz w:val="28"/>
        </w:rPr>
      </w:pPr>
      <w:r w:rsidRPr="00A66326">
        <w:rPr>
          <w:b/>
          <w:sz w:val="28"/>
        </w:rPr>
        <w:t xml:space="preserve">Date:  </w:t>
      </w:r>
      <w:r w:rsidR="001B3948" w:rsidRPr="001B3948">
        <w:rPr>
          <w:bCs/>
          <w:sz w:val="28"/>
        </w:rPr>
        <w:t>0</w:t>
      </w:r>
      <w:r w:rsidR="00E947D9" w:rsidRPr="001B3948">
        <w:rPr>
          <w:bCs/>
          <w:sz w:val="28"/>
        </w:rPr>
        <w:t>3/11/22</w:t>
      </w:r>
    </w:p>
    <w:p w14:paraId="77CC325D" w14:textId="30CA7430" w:rsidR="00BF5AFA" w:rsidRPr="003647A2" w:rsidRDefault="00BF5AFA" w:rsidP="00BF5AFA">
      <w:pPr>
        <w:rPr>
          <w:bCs/>
          <w:sz w:val="28"/>
        </w:rPr>
      </w:pPr>
      <w:r>
        <w:rPr>
          <w:b/>
          <w:sz w:val="28"/>
        </w:rPr>
        <w:t>Head of Procurement</w:t>
      </w:r>
      <w:r w:rsidRPr="00A66326">
        <w:rPr>
          <w:b/>
          <w:sz w:val="28"/>
        </w:rPr>
        <w:t xml:space="preserve">:  </w:t>
      </w:r>
      <w:r w:rsidR="0050543F">
        <w:rPr>
          <w:bCs/>
          <w:sz w:val="28"/>
        </w:rPr>
        <w:t>Marzuki Haji</w:t>
      </w:r>
      <w:r w:rsidR="003B13F0">
        <w:rPr>
          <w:bCs/>
          <w:sz w:val="28"/>
        </w:rPr>
        <w:t xml:space="preserve"> </w:t>
      </w:r>
    </w:p>
    <w:p w14:paraId="6FB524A0" w14:textId="77777777" w:rsidR="00BF5AFA" w:rsidRPr="00A66326" w:rsidRDefault="00BF5AFA" w:rsidP="00BF5AFA">
      <w:r w:rsidRPr="00A66326">
        <w:t xml:space="preserve">Signed on behalf of the </w:t>
      </w:r>
      <w:r>
        <w:t>Head of Procurement</w:t>
      </w:r>
    </w:p>
    <w:p w14:paraId="4132411C" w14:textId="30628B52" w:rsidR="00BF5AFA" w:rsidRPr="00904A2A" w:rsidRDefault="00BF5AFA" w:rsidP="00BF5AFA">
      <w:pPr>
        <w:spacing w:after="480"/>
        <w:rPr>
          <w:bCs/>
          <w:sz w:val="28"/>
        </w:rPr>
      </w:pPr>
      <w:r w:rsidRPr="00A66326">
        <w:rPr>
          <w:b/>
          <w:sz w:val="28"/>
        </w:rPr>
        <w:t xml:space="preserve">Date:  </w:t>
      </w:r>
      <w:r w:rsidR="00904A2A" w:rsidRPr="00904A2A">
        <w:rPr>
          <w:bCs/>
          <w:sz w:val="28"/>
        </w:rPr>
        <w:t>17/10/22</w:t>
      </w:r>
    </w:p>
    <w:p w14:paraId="3E402A25" w14:textId="77777777" w:rsidR="003313EA" w:rsidRDefault="003313EA" w:rsidP="00BF5AFA">
      <w:pPr>
        <w:pStyle w:val="Heading2"/>
        <w:spacing w:before="480" w:after="240"/>
      </w:pPr>
      <w:r>
        <w:t>Mandatory Checks</w:t>
      </w:r>
    </w:p>
    <w:p w14:paraId="3E9D94A0" w14:textId="77777777" w:rsidR="003647A2" w:rsidRPr="00A406F3" w:rsidRDefault="003647A2" w:rsidP="003647A2">
      <w:pPr>
        <w:pStyle w:val="Heading3"/>
        <w:ind w:left="0" w:firstLine="0"/>
        <w:jc w:val="left"/>
      </w:pPr>
      <w:r w:rsidRPr="003313EA">
        <w:t xml:space="preserve">Ward Councillors </w:t>
      </w:r>
      <w:r>
        <w:t xml:space="preserve">notified:  </w:t>
      </w:r>
      <w:r w:rsidRPr="00C537C0">
        <w:rPr>
          <w:b w:val="0"/>
          <w:bCs w:val="0"/>
        </w:rPr>
        <w:t>NO - impacts on all Wards</w:t>
      </w:r>
      <w:r w:rsidRPr="00A406F3">
        <w:t xml:space="preserve"> </w:t>
      </w:r>
    </w:p>
    <w:p w14:paraId="3E5B8708" w14:textId="7D1C9492" w:rsidR="003647A2" w:rsidRPr="00E35EE2" w:rsidRDefault="003647A2" w:rsidP="003647A2">
      <w:pPr>
        <w:pStyle w:val="Heading3"/>
        <w:spacing w:before="240"/>
        <w:rPr>
          <w:b w:val="0"/>
          <w:bCs w:val="0"/>
        </w:rPr>
      </w:pPr>
      <w:r w:rsidRPr="00202D79">
        <w:t>EqIA carried out:</w:t>
      </w:r>
      <w:r>
        <w:t xml:space="preserve">  </w:t>
      </w:r>
      <w:r w:rsidR="0001693F" w:rsidRPr="00E35EE2">
        <w:rPr>
          <w:b w:val="0"/>
          <w:bCs w:val="0"/>
        </w:rPr>
        <w:t>Yes</w:t>
      </w:r>
    </w:p>
    <w:p w14:paraId="450FBD84" w14:textId="7C1BD12A" w:rsidR="003647A2" w:rsidRPr="00E35EE2" w:rsidRDefault="003647A2" w:rsidP="003647A2">
      <w:pPr>
        <w:pStyle w:val="Heading3"/>
        <w:spacing w:before="240"/>
        <w:jc w:val="left"/>
        <w:rPr>
          <w:b w:val="0"/>
          <w:bCs w:val="0"/>
          <w:color w:val="FF0000"/>
        </w:rPr>
      </w:pPr>
      <w:r w:rsidRPr="00202D79">
        <w:t>EqIA cleared by:</w:t>
      </w:r>
      <w:r>
        <w:t xml:space="preserve">  </w:t>
      </w:r>
      <w:r w:rsidR="00E35EE2">
        <w:rPr>
          <w:b w:val="0"/>
          <w:bCs w:val="0"/>
        </w:rPr>
        <w:t>Jennifer Rock</w:t>
      </w:r>
    </w:p>
    <w:p w14:paraId="07E65D9A" w14:textId="77777777" w:rsidR="00333FAA" w:rsidRDefault="0049229B" w:rsidP="00842757">
      <w:pPr>
        <w:pStyle w:val="Heading2"/>
        <w:spacing w:before="480" w:after="240"/>
      </w:pPr>
      <w:r>
        <w:t xml:space="preserve">Section 4 </w:t>
      </w:r>
      <w:r w:rsidR="00333FAA">
        <w:t>- Contact Details and Background Papers</w:t>
      </w:r>
    </w:p>
    <w:p w14:paraId="2BA19EF5" w14:textId="77777777" w:rsidR="0049229B" w:rsidRDefault="0049229B" w:rsidP="0049229B">
      <w:pPr>
        <w:pStyle w:val="Infotext"/>
        <w:spacing w:after="240"/>
        <w:rPr>
          <w:rStyle w:val="Hyperlink"/>
        </w:rPr>
      </w:pPr>
      <w:r w:rsidRPr="004E47FC">
        <w:rPr>
          <w:b/>
        </w:rPr>
        <w:t xml:space="preserve">Contact:  </w:t>
      </w:r>
      <w:r>
        <w:t xml:space="preserve">Tim Bryan – Head of Service, Culture and Leisure. Tel: 07917076800. Email:  </w:t>
      </w:r>
      <w:hyperlink r:id="rId16" w:history="1">
        <w:r w:rsidRPr="00DF4FCA">
          <w:rPr>
            <w:rStyle w:val="Hyperlink"/>
          </w:rPr>
          <w:t>tim.bryan@harrow.gov.uk</w:t>
        </w:r>
      </w:hyperlink>
    </w:p>
    <w:p w14:paraId="725BF7D0" w14:textId="77777777" w:rsidR="00333FAA" w:rsidRPr="009A6CE4" w:rsidRDefault="00333FAA" w:rsidP="00CC18AC">
      <w:pPr>
        <w:pStyle w:val="Infotext"/>
        <w:spacing w:after="240"/>
        <w:rPr>
          <w:bCs/>
        </w:rPr>
      </w:pPr>
      <w:r w:rsidRPr="004E47FC">
        <w:rPr>
          <w:b/>
        </w:rPr>
        <w:t xml:space="preserve">Background Papers: </w:t>
      </w:r>
      <w:r w:rsidR="005808FB">
        <w:rPr>
          <w:b/>
        </w:rPr>
        <w:t xml:space="preserve"> </w:t>
      </w:r>
      <w:r w:rsidR="009A6CE4">
        <w:rPr>
          <w:bCs/>
        </w:rPr>
        <w:t>None</w:t>
      </w:r>
    </w:p>
    <w:p w14:paraId="1513E7F7" w14:textId="3BA5B80E" w:rsidR="000D4E36" w:rsidRPr="00C537C0" w:rsidRDefault="00842757" w:rsidP="00C537C0">
      <w:pPr>
        <w:rPr>
          <w:rFonts w:ascii="Arial Black" w:hAnsi="Arial Black"/>
        </w:rPr>
      </w:pPr>
      <w:r>
        <w:rPr>
          <w:rFonts w:ascii="Arial Black" w:hAnsi="Arial Black"/>
        </w:rPr>
        <w:t>Call-in w</w:t>
      </w:r>
      <w:r w:rsidRPr="007C0DC3">
        <w:rPr>
          <w:rFonts w:ascii="Arial Black" w:hAnsi="Arial Black"/>
        </w:rPr>
        <w:t>aived by the Chair of Overview and Scrutiny Committee</w:t>
      </w:r>
      <w:r w:rsidR="00C537C0">
        <w:rPr>
          <w:rFonts w:ascii="Arial Black" w:hAnsi="Arial Black"/>
        </w:rPr>
        <w:t xml:space="preserve"> </w:t>
      </w:r>
      <w:r w:rsidR="00362C1D">
        <w:rPr>
          <w:rFonts w:ascii="Arial Black" w:hAnsi="Arial Black"/>
        </w:rPr>
        <w:t>–</w:t>
      </w:r>
      <w:r w:rsidR="00C537C0">
        <w:rPr>
          <w:rFonts w:ascii="Arial Black" w:hAnsi="Arial Black"/>
        </w:rPr>
        <w:t xml:space="preserve"> </w:t>
      </w:r>
      <w:r w:rsidRPr="003D78F6">
        <w:rPr>
          <w:b/>
        </w:rPr>
        <w:t>NO</w:t>
      </w:r>
      <w:r w:rsidR="00362C1D">
        <w:rPr>
          <w:b/>
        </w:rPr>
        <w:t>T APPLICABLE</w:t>
      </w:r>
      <w:r w:rsidRPr="003D78F6">
        <w:rPr>
          <w:b/>
        </w:rPr>
        <w:t xml:space="preserve"> </w:t>
      </w:r>
    </w:p>
    <w:sectPr w:rsidR="000D4E36" w:rsidRPr="00C537C0" w:rsidSect="00016455">
      <w:pgSz w:w="11909" w:h="16834" w:code="9"/>
      <w:pgMar w:top="851" w:right="1440" w:bottom="1440"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62CC" w14:textId="77777777" w:rsidR="00EC11A6" w:rsidRDefault="00EC11A6">
      <w:r>
        <w:separator/>
      </w:r>
    </w:p>
  </w:endnote>
  <w:endnote w:type="continuationSeparator" w:id="0">
    <w:p w14:paraId="328E3241" w14:textId="77777777" w:rsidR="00EC11A6" w:rsidRDefault="00EC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0246" w14:textId="77777777" w:rsidR="00EC11A6" w:rsidRDefault="00EC11A6">
      <w:r>
        <w:separator/>
      </w:r>
    </w:p>
  </w:footnote>
  <w:footnote w:type="continuationSeparator" w:id="0">
    <w:p w14:paraId="7C54BA43" w14:textId="77777777" w:rsidR="00EC11A6" w:rsidRDefault="00EC1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6DA0"/>
    <w:multiLevelType w:val="hybridMultilevel"/>
    <w:tmpl w:val="41526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E500C19"/>
    <w:multiLevelType w:val="hybridMultilevel"/>
    <w:tmpl w:val="75E8D1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4C0F51"/>
    <w:multiLevelType w:val="multilevel"/>
    <w:tmpl w:val="A5AE92CA"/>
    <w:lvl w:ilvl="0">
      <w:start w:val="10"/>
      <w:numFmt w:val="decimal"/>
      <w:lvlText w:val="%1"/>
      <w:lvlJc w:val="left"/>
      <w:pPr>
        <w:ind w:left="460" w:hanging="460"/>
      </w:pPr>
      <w:rPr>
        <w:rFonts w:cs="Times New Roman" w:hint="default"/>
      </w:rPr>
    </w:lvl>
    <w:lvl w:ilvl="1">
      <w:start w:val="1"/>
      <w:numFmt w:val="decimal"/>
      <w:lvlText w:val="%1.%2"/>
      <w:lvlJc w:val="left"/>
      <w:pPr>
        <w:ind w:left="820" w:hanging="4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22DB5FFB"/>
    <w:multiLevelType w:val="multilevel"/>
    <w:tmpl w:val="A2ECC94A"/>
    <w:lvl w:ilvl="0">
      <w:start w:val="1"/>
      <w:numFmt w:val="decimal"/>
      <w:lvlText w:val="%1."/>
      <w:lvlJc w:val="left"/>
      <w:pPr>
        <w:ind w:left="360" w:hanging="360"/>
      </w:pPr>
      <w:rPr>
        <w:rFonts w:hint="default"/>
        <w:b/>
        <w:bCs/>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A2259A"/>
    <w:multiLevelType w:val="hybridMultilevel"/>
    <w:tmpl w:val="9E525B4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3CE60AA"/>
    <w:multiLevelType w:val="hybridMultilevel"/>
    <w:tmpl w:val="4E600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176A10"/>
    <w:multiLevelType w:val="hybridMultilevel"/>
    <w:tmpl w:val="2C6ED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0432D"/>
    <w:multiLevelType w:val="multilevel"/>
    <w:tmpl w:val="9232F4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D4D22DD"/>
    <w:multiLevelType w:val="multilevel"/>
    <w:tmpl w:val="9232F4A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20E1221"/>
    <w:multiLevelType w:val="hybridMultilevel"/>
    <w:tmpl w:val="0F708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718A2"/>
    <w:multiLevelType w:val="multilevel"/>
    <w:tmpl w:val="6F22F9A8"/>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4F6322A"/>
    <w:multiLevelType w:val="hybridMultilevel"/>
    <w:tmpl w:val="13BEA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D311EF"/>
    <w:multiLevelType w:val="multilevel"/>
    <w:tmpl w:val="E55ECCBA"/>
    <w:lvl w:ilvl="0">
      <w:start w:val="1"/>
      <w:numFmt w:val="upperRoman"/>
      <w:lvlText w:val="%1."/>
      <w:lvlJc w:val="right"/>
      <w:pPr>
        <w:ind w:left="1080" w:hanging="360"/>
      </w:pPr>
      <w:rPr>
        <w:rFonts w:hint="default"/>
        <w:b w:val="0"/>
        <w:bCs w:val="0"/>
        <w:color w:val="auto"/>
        <w:sz w:val="24"/>
        <w:szCs w:val="24"/>
      </w:rPr>
    </w:lvl>
    <w:lvl w:ilvl="1">
      <w:start w:val="1"/>
      <w:numFmt w:val="decimal"/>
      <w:isLgl/>
      <w:lvlText w:val="%1.%2"/>
      <w:lvlJc w:val="left"/>
      <w:pPr>
        <w:ind w:left="1250" w:hanging="5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7822467"/>
    <w:multiLevelType w:val="hybridMultilevel"/>
    <w:tmpl w:val="52F86AD0"/>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5" w15:restartNumberingAfterBreak="0">
    <w:nsid w:val="6B3D5EFC"/>
    <w:multiLevelType w:val="hybridMultilevel"/>
    <w:tmpl w:val="8C2AC556"/>
    <w:lvl w:ilvl="0" w:tplc="346446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637CB1"/>
    <w:multiLevelType w:val="multilevel"/>
    <w:tmpl w:val="AEF0E0B8"/>
    <w:lvl w:ilvl="0">
      <w:start w:val="6"/>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17" w15:restartNumberingAfterBreak="0">
    <w:nsid w:val="6CA25F27"/>
    <w:multiLevelType w:val="hybridMultilevel"/>
    <w:tmpl w:val="2C6ED1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646C8A"/>
    <w:multiLevelType w:val="hybridMultilevel"/>
    <w:tmpl w:val="8C2AC556"/>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D445A93"/>
    <w:multiLevelType w:val="multilevel"/>
    <w:tmpl w:val="6F22F9A8"/>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DE74D3E"/>
    <w:multiLevelType w:val="hybridMultilevel"/>
    <w:tmpl w:val="F70895E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F5414BB"/>
    <w:multiLevelType w:val="hybridMultilevel"/>
    <w:tmpl w:val="9D16D4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8"/>
  </w:num>
  <w:num w:numId="5">
    <w:abstractNumId w:val="1"/>
  </w:num>
  <w:num w:numId="6">
    <w:abstractNumId w:val="16"/>
  </w:num>
  <w:num w:numId="7">
    <w:abstractNumId w:val="21"/>
  </w:num>
  <w:num w:numId="8">
    <w:abstractNumId w:val="10"/>
  </w:num>
  <w:num w:numId="9">
    <w:abstractNumId w:val="6"/>
  </w:num>
  <w:num w:numId="10">
    <w:abstractNumId w:val="15"/>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4"/>
  </w:num>
  <w:num w:numId="16">
    <w:abstractNumId w:val="20"/>
  </w:num>
  <w:num w:numId="17">
    <w:abstractNumId w:val="18"/>
  </w:num>
  <w:num w:numId="18">
    <w:abstractNumId w:val="5"/>
  </w:num>
  <w:num w:numId="19">
    <w:abstractNumId w:val="9"/>
  </w:num>
  <w:num w:numId="20">
    <w:abstractNumId w:val="11"/>
  </w:num>
  <w:num w:numId="21">
    <w:abstractNumId w:val="12"/>
  </w:num>
  <w:num w:numId="22">
    <w:abstractNumId w:val="19"/>
  </w:num>
  <w:num w:numId="2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B8C"/>
    <w:rsid w:val="00005213"/>
    <w:rsid w:val="00013722"/>
    <w:rsid w:val="00016455"/>
    <w:rsid w:val="0001693F"/>
    <w:rsid w:val="000226A6"/>
    <w:rsid w:val="00023640"/>
    <w:rsid w:val="00025ADA"/>
    <w:rsid w:val="000326DB"/>
    <w:rsid w:val="0003319B"/>
    <w:rsid w:val="0003384D"/>
    <w:rsid w:val="00034F3E"/>
    <w:rsid w:val="0004029A"/>
    <w:rsid w:val="00041736"/>
    <w:rsid w:val="00043DA0"/>
    <w:rsid w:val="0004521C"/>
    <w:rsid w:val="0004677F"/>
    <w:rsid w:val="00047422"/>
    <w:rsid w:val="000474E3"/>
    <w:rsid w:val="00052BC5"/>
    <w:rsid w:val="00052F7B"/>
    <w:rsid w:val="0005409E"/>
    <w:rsid w:val="00055928"/>
    <w:rsid w:val="0005693B"/>
    <w:rsid w:val="000577AB"/>
    <w:rsid w:val="0006034E"/>
    <w:rsid w:val="00063783"/>
    <w:rsid w:val="00072AE6"/>
    <w:rsid w:val="00073765"/>
    <w:rsid w:val="00076645"/>
    <w:rsid w:val="0008018D"/>
    <w:rsid w:val="00084730"/>
    <w:rsid w:val="000851C9"/>
    <w:rsid w:val="00085598"/>
    <w:rsid w:val="000906F4"/>
    <w:rsid w:val="00090DB3"/>
    <w:rsid w:val="00091CC1"/>
    <w:rsid w:val="000929A6"/>
    <w:rsid w:val="00094414"/>
    <w:rsid w:val="00095FA1"/>
    <w:rsid w:val="00097F29"/>
    <w:rsid w:val="000A29CF"/>
    <w:rsid w:val="000A29ED"/>
    <w:rsid w:val="000A4DAC"/>
    <w:rsid w:val="000B2798"/>
    <w:rsid w:val="000B4192"/>
    <w:rsid w:val="000B4A7A"/>
    <w:rsid w:val="000B5015"/>
    <w:rsid w:val="000B661F"/>
    <w:rsid w:val="000B788F"/>
    <w:rsid w:val="000B7C66"/>
    <w:rsid w:val="000B7F41"/>
    <w:rsid w:val="000C2752"/>
    <w:rsid w:val="000C2A7C"/>
    <w:rsid w:val="000C3495"/>
    <w:rsid w:val="000C6D90"/>
    <w:rsid w:val="000D4E36"/>
    <w:rsid w:val="000E4B1E"/>
    <w:rsid w:val="000E5777"/>
    <w:rsid w:val="000E62FE"/>
    <w:rsid w:val="000F2281"/>
    <w:rsid w:val="000F3076"/>
    <w:rsid w:val="00101ADA"/>
    <w:rsid w:val="00105B8A"/>
    <w:rsid w:val="00111C1A"/>
    <w:rsid w:val="001161E4"/>
    <w:rsid w:val="00117182"/>
    <w:rsid w:val="00125A26"/>
    <w:rsid w:val="00130768"/>
    <w:rsid w:val="001314E2"/>
    <w:rsid w:val="001324CE"/>
    <w:rsid w:val="00133036"/>
    <w:rsid w:val="00143FE7"/>
    <w:rsid w:val="00144F94"/>
    <w:rsid w:val="00145668"/>
    <w:rsid w:val="00145764"/>
    <w:rsid w:val="00146BCE"/>
    <w:rsid w:val="001472A8"/>
    <w:rsid w:val="00150BBB"/>
    <w:rsid w:val="00152321"/>
    <w:rsid w:val="001533AF"/>
    <w:rsid w:val="0015376F"/>
    <w:rsid w:val="00154969"/>
    <w:rsid w:val="00157A7C"/>
    <w:rsid w:val="001614E0"/>
    <w:rsid w:val="00171BD8"/>
    <w:rsid w:val="00172DA3"/>
    <w:rsid w:val="0017653E"/>
    <w:rsid w:val="001765B5"/>
    <w:rsid w:val="00182B01"/>
    <w:rsid w:val="00183C06"/>
    <w:rsid w:val="001840D2"/>
    <w:rsid w:val="00184FFD"/>
    <w:rsid w:val="00185EFD"/>
    <w:rsid w:val="001966D7"/>
    <w:rsid w:val="001A5B0A"/>
    <w:rsid w:val="001B3948"/>
    <w:rsid w:val="001B49A9"/>
    <w:rsid w:val="001B64E8"/>
    <w:rsid w:val="001C16CF"/>
    <w:rsid w:val="001C1AD7"/>
    <w:rsid w:val="001C4D2E"/>
    <w:rsid w:val="001C7612"/>
    <w:rsid w:val="001C7E35"/>
    <w:rsid w:val="001D2F46"/>
    <w:rsid w:val="001D4F6D"/>
    <w:rsid w:val="001E3C06"/>
    <w:rsid w:val="001E5BC1"/>
    <w:rsid w:val="001F0037"/>
    <w:rsid w:val="001F003A"/>
    <w:rsid w:val="001F0BE9"/>
    <w:rsid w:val="001F488F"/>
    <w:rsid w:val="001F6AF4"/>
    <w:rsid w:val="001F72BD"/>
    <w:rsid w:val="0020226F"/>
    <w:rsid w:val="00202D79"/>
    <w:rsid w:val="00205D2F"/>
    <w:rsid w:val="002146D9"/>
    <w:rsid w:val="00214AA4"/>
    <w:rsid w:val="00215C01"/>
    <w:rsid w:val="00215E8F"/>
    <w:rsid w:val="0022095D"/>
    <w:rsid w:val="00221A93"/>
    <w:rsid w:val="002222C5"/>
    <w:rsid w:val="002322BB"/>
    <w:rsid w:val="00237F0F"/>
    <w:rsid w:val="00240876"/>
    <w:rsid w:val="00241A09"/>
    <w:rsid w:val="00251254"/>
    <w:rsid w:val="002548D1"/>
    <w:rsid w:val="00264CCE"/>
    <w:rsid w:val="0027283B"/>
    <w:rsid w:val="002743BA"/>
    <w:rsid w:val="00275DD5"/>
    <w:rsid w:val="00277A71"/>
    <w:rsid w:val="0028019B"/>
    <w:rsid w:val="00281EA3"/>
    <w:rsid w:val="00282E73"/>
    <w:rsid w:val="002839C8"/>
    <w:rsid w:val="00283CAB"/>
    <w:rsid w:val="0028525A"/>
    <w:rsid w:val="00286747"/>
    <w:rsid w:val="002A0BFE"/>
    <w:rsid w:val="002A21E8"/>
    <w:rsid w:val="002A3FEF"/>
    <w:rsid w:val="002A47AE"/>
    <w:rsid w:val="002B3F29"/>
    <w:rsid w:val="002B54A6"/>
    <w:rsid w:val="002B7B01"/>
    <w:rsid w:val="002C2C46"/>
    <w:rsid w:val="002D1516"/>
    <w:rsid w:val="002E2D83"/>
    <w:rsid w:val="002E3F05"/>
    <w:rsid w:val="002F36D2"/>
    <w:rsid w:val="002F3EE9"/>
    <w:rsid w:val="003013DC"/>
    <w:rsid w:val="00303018"/>
    <w:rsid w:val="00303C0F"/>
    <w:rsid w:val="00304182"/>
    <w:rsid w:val="003054E8"/>
    <w:rsid w:val="00307F76"/>
    <w:rsid w:val="00321FBB"/>
    <w:rsid w:val="00324E4F"/>
    <w:rsid w:val="00324FB5"/>
    <w:rsid w:val="00325597"/>
    <w:rsid w:val="00330832"/>
    <w:rsid w:val="003313EA"/>
    <w:rsid w:val="00333FAA"/>
    <w:rsid w:val="003355D7"/>
    <w:rsid w:val="00346470"/>
    <w:rsid w:val="00356CFF"/>
    <w:rsid w:val="0036201C"/>
    <w:rsid w:val="00362C1D"/>
    <w:rsid w:val="003647A2"/>
    <w:rsid w:val="00370770"/>
    <w:rsid w:val="00371E7B"/>
    <w:rsid w:val="00372E22"/>
    <w:rsid w:val="003745B2"/>
    <w:rsid w:val="00376768"/>
    <w:rsid w:val="00380F87"/>
    <w:rsid w:val="00382315"/>
    <w:rsid w:val="00383529"/>
    <w:rsid w:val="00391B72"/>
    <w:rsid w:val="00395067"/>
    <w:rsid w:val="003A20F8"/>
    <w:rsid w:val="003B13F0"/>
    <w:rsid w:val="003B1AAA"/>
    <w:rsid w:val="003C270D"/>
    <w:rsid w:val="003C39DC"/>
    <w:rsid w:val="003C636C"/>
    <w:rsid w:val="003C7376"/>
    <w:rsid w:val="003D22A2"/>
    <w:rsid w:val="003D693F"/>
    <w:rsid w:val="003E6EE8"/>
    <w:rsid w:val="003F200F"/>
    <w:rsid w:val="003F24F2"/>
    <w:rsid w:val="003F3AFD"/>
    <w:rsid w:val="003F638A"/>
    <w:rsid w:val="00400D60"/>
    <w:rsid w:val="004076C8"/>
    <w:rsid w:val="00416321"/>
    <w:rsid w:val="00417137"/>
    <w:rsid w:val="004207E3"/>
    <w:rsid w:val="00421A4C"/>
    <w:rsid w:val="004238C2"/>
    <w:rsid w:val="00430F97"/>
    <w:rsid w:val="00432776"/>
    <w:rsid w:val="00435B5D"/>
    <w:rsid w:val="004363F7"/>
    <w:rsid w:val="004369D4"/>
    <w:rsid w:val="00442B81"/>
    <w:rsid w:val="0044525C"/>
    <w:rsid w:val="00446803"/>
    <w:rsid w:val="00450552"/>
    <w:rsid w:val="00450CA0"/>
    <w:rsid w:val="0045148C"/>
    <w:rsid w:val="00452532"/>
    <w:rsid w:val="004553F1"/>
    <w:rsid w:val="00455602"/>
    <w:rsid w:val="00455EA6"/>
    <w:rsid w:val="00463180"/>
    <w:rsid w:val="00465927"/>
    <w:rsid w:val="004669D0"/>
    <w:rsid w:val="00471C1F"/>
    <w:rsid w:val="004758D0"/>
    <w:rsid w:val="00477E5B"/>
    <w:rsid w:val="004809FA"/>
    <w:rsid w:val="00481082"/>
    <w:rsid w:val="00482F76"/>
    <w:rsid w:val="00483349"/>
    <w:rsid w:val="00487754"/>
    <w:rsid w:val="0049229B"/>
    <w:rsid w:val="0049767C"/>
    <w:rsid w:val="004A3104"/>
    <w:rsid w:val="004A66DB"/>
    <w:rsid w:val="004A7981"/>
    <w:rsid w:val="004B630B"/>
    <w:rsid w:val="004B7DCF"/>
    <w:rsid w:val="004C29CC"/>
    <w:rsid w:val="004C2D09"/>
    <w:rsid w:val="004C4A75"/>
    <w:rsid w:val="004C591D"/>
    <w:rsid w:val="004D0472"/>
    <w:rsid w:val="004D14D7"/>
    <w:rsid w:val="004D2DA0"/>
    <w:rsid w:val="004D56DA"/>
    <w:rsid w:val="004D6403"/>
    <w:rsid w:val="004E14A4"/>
    <w:rsid w:val="004E7646"/>
    <w:rsid w:val="004F54BD"/>
    <w:rsid w:val="004F56C5"/>
    <w:rsid w:val="004F5AA0"/>
    <w:rsid w:val="004F6E47"/>
    <w:rsid w:val="004F7364"/>
    <w:rsid w:val="00500193"/>
    <w:rsid w:val="00503BE0"/>
    <w:rsid w:val="0050543F"/>
    <w:rsid w:val="00506185"/>
    <w:rsid w:val="0051015B"/>
    <w:rsid w:val="00512BDB"/>
    <w:rsid w:val="00514681"/>
    <w:rsid w:val="00517D1C"/>
    <w:rsid w:val="005211C6"/>
    <w:rsid w:val="00524418"/>
    <w:rsid w:val="005313BA"/>
    <w:rsid w:val="00532644"/>
    <w:rsid w:val="005346ED"/>
    <w:rsid w:val="005354D0"/>
    <w:rsid w:val="00537B3F"/>
    <w:rsid w:val="0054060A"/>
    <w:rsid w:val="005406E9"/>
    <w:rsid w:val="00541043"/>
    <w:rsid w:val="00541083"/>
    <w:rsid w:val="00541169"/>
    <w:rsid w:val="0054172C"/>
    <w:rsid w:val="0054590F"/>
    <w:rsid w:val="005459EC"/>
    <w:rsid w:val="00553E42"/>
    <w:rsid w:val="005569BE"/>
    <w:rsid w:val="00557800"/>
    <w:rsid w:val="00563EA4"/>
    <w:rsid w:val="00565BF5"/>
    <w:rsid w:val="00565CA7"/>
    <w:rsid w:val="005718B5"/>
    <w:rsid w:val="005808FB"/>
    <w:rsid w:val="005811F8"/>
    <w:rsid w:val="005813E1"/>
    <w:rsid w:val="00582605"/>
    <w:rsid w:val="00585023"/>
    <w:rsid w:val="00591016"/>
    <w:rsid w:val="005B3F67"/>
    <w:rsid w:val="005C0E1C"/>
    <w:rsid w:val="005C2B48"/>
    <w:rsid w:val="005C7085"/>
    <w:rsid w:val="005D188A"/>
    <w:rsid w:val="005D20E3"/>
    <w:rsid w:val="005D3CF1"/>
    <w:rsid w:val="005D548F"/>
    <w:rsid w:val="005D6EF5"/>
    <w:rsid w:val="005E12D0"/>
    <w:rsid w:val="005E3A10"/>
    <w:rsid w:val="005E7509"/>
    <w:rsid w:val="005F0C0D"/>
    <w:rsid w:val="005F2079"/>
    <w:rsid w:val="00601C93"/>
    <w:rsid w:val="00601D7F"/>
    <w:rsid w:val="00603CB6"/>
    <w:rsid w:val="006042E2"/>
    <w:rsid w:val="00605A4C"/>
    <w:rsid w:val="00613875"/>
    <w:rsid w:val="00615F0E"/>
    <w:rsid w:val="00626081"/>
    <w:rsid w:val="006302F6"/>
    <w:rsid w:val="006317C3"/>
    <w:rsid w:val="00634DFB"/>
    <w:rsid w:val="00636668"/>
    <w:rsid w:val="006379F4"/>
    <w:rsid w:val="00641E51"/>
    <w:rsid w:val="00643527"/>
    <w:rsid w:val="00645B8B"/>
    <w:rsid w:val="00650BE0"/>
    <w:rsid w:val="00655044"/>
    <w:rsid w:val="00655CC7"/>
    <w:rsid w:val="006625C8"/>
    <w:rsid w:val="0066306B"/>
    <w:rsid w:val="00666922"/>
    <w:rsid w:val="00670F17"/>
    <w:rsid w:val="006710C7"/>
    <w:rsid w:val="00677E08"/>
    <w:rsid w:val="00681AA7"/>
    <w:rsid w:val="00684E75"/>
    <w:rsid w:val="006923D1"/>
    <w:rsid w:val="0069278A"/>
    <w:rsid w:val="00696A83"/>
    <w:rsid w:val="006A6BF1"/>
    <w:rsid w:val="006B26B9"/>
    <w:rsid w:val="006B3B29"/>
    <w:rsid w:val="006B3FDA"/>
    <w:rsid w:val="006B434A"/>
    <w:rsid w:val="006B533E"/>
    <w:rsid w:val="006C52FD"/>
    <w:rsid w:val="006C580A"/>
    <w:rsid w:val="006C7701"/>
    <w:rsid w:val="006D0BE1"/>
    <w:rsid w:val="006D0CD4"/>
    <w:rsid w:val="006D0EDF"/>
    <w:rsid w:val="006D1E69"/>
    <w:rsid w:val="006E409D"/>
    <w:rsid w:val="006F057C"/>
    <w:rsid w:val="006F22DA"/>
    <w:rsid w:val="006F2EB3"/>
    <w:rsid w:val="007058C9"/>
    <w:rsid w:val="0071064C"/>
    <w:rsid w:val="007116B1"/>
    <w:rsid w:val="00711E99"/>
    <w:rsid w:val="00714BEE"/>
    <w:rsid w:val="0072003F"/>
    <w:rsid w:val="00721215"/>
    <w:rsid w:val="00723486"/>
    <w:rsid w:val="00726CEC"/>
    <w:rsid w:val="007333EC"/>
    <w:rsid w:val="00734293"/>
    <w:rsid w:val="007400CF"/>
    <w:rsid w:val="00741F35"/>
    <w:rsid w:val="007614DF"/>
    <w:rsid w:val="00761F0E"/>
    <w:rsid w:val="00762722"/>
    <w:rsid w:val="00763A86"/>
    <w:rsid w:val="0078044C"/>
    <w:rsid w:val="00781768"/>
    <w:rsid w:val="007825C5"/>
    <w:rsid w:val="0078757A"/>
    <w:rsid w:val="007946C0"/>
    <w:rsid w:val="00795968"/>
    <w:rsid w:val="00795AFC"/>
    <w:rsid w:val="00795BEA"/>
    <w:rsid w:val="007A018E"/>
    <w:rsid w:val="007A285D"/>
    <w:rsid w:val="007A6DA7"/>
    <w:rsid w:val="007B1989"/>
    <w:rsid w:val="007B23FC"/>
    <w:rsid w:val="007B4ED6"/>
    <w:rsid w:val="007C20DC"/>
    <w:rsid w:val="007C32E3"/>
    <w:rsid w:val="007C42B1"/>
    <w:rsid w:val="007C48B8"/>
    <w:rsid w:val="007C5F90"/>
    <w:rsid w:val="007C709A"/>
    <w:rsid w:val="007D0C1D"/>
    <w:rsid w:val="007D2000"/>
    <w:rsid w:val="007D294B"/>
    <w:rsid w:val="007D4DBF"/>
    <w:rsid w:val="007D7432"/>
    <w:rsid w:val="007E4732"/>
    <w:rsid w:val="007E4BA4"/>
    <w:rsid w:val="007E743C"/>
    <w:rsid w:val="007E7CA0"/>
    <w:rsid w:val="007F004E"/>
    <w:rsid w:val="007F0122"/>
    <w:rsid w:val="007F17D2"/>
    <w:rsid w:val="007F2F77"/>
    <w:rsid w:val="007F335A"/>
    <w:rsid w:val="008004BD"/>
    <w:rsid w:val="00800EB5"/>
    <w:rsid w:val="00803104"/>
    <w:rsid w:val="00804899"/>
    <w:rsid w:val="00806C87"/>
    <w:rsid w:val="008070E6"/>
    <w:rsid w:val="00812901"/>
    <w:rsid w:val="008146DD"/>
    <w:rsid w:val="008152C6"/>
    <w:rsid w:val="00816D70"/>
    <w:rsid w:val="00820F38"/>
    <w:rsid w:val="008242EC"/>
    <w:rsid w:val="008251F2"/>
    <w:rsid w:val="00826B9A"/>
    <w:rsid w:val="008300FD"/>
    <w:rsid w:val="00830407"/>
    <w:rsid w:val="00830651"/>
    <w:rsid w:val="00831A15"/>
    <w:rsid w:val="00842757"/>
    <w:rsid w:val="00843471"/>
    <w:rsid w:val="00843CC2"/>
    <w:rsid w:val="0084722F"/>
    <w:rsid w:val="0085266D"/>
    <w:rsid w:val="00854C88"/>
    <w:rsid w:val="00857B05"/>
    <w:rsid w:val="0086497C"/>
    <w:rsid w:val="00874250"/>
    <w:rsid w:val="00874FA5"/>
    <w:rsid w:val="0087607D"/>
    <w:rsid w:val="00877570"/>
    <w:rsid w:val="008840C5"/>
    <w:rsid w:val="008852F8"/>
    <w:rsid w:val="00885BAE"/>
    <w:rsid w:val="00890A64"/>
    <w:rsid w:val="0089200D"/>
    <w:rsid w:val="00892285"/>
    <w:rsid w:val="0089348E"/>
    <w:rsid w:val="00895D87"/>
    <w:rsid w:val="00895EF4"/>
    <w:rsid w:val="00896309"/>
    <w:rsid w:val="008963B9"/>
    <w:rsid w:val="008A02BF"/>
    <w:rsid w:val="008A1A9A"/>
    <w:rsid w:val="008A5AA0"/>
    <w:rsid w:val="008A5B54"/>
    <w:rsid w:val="008B18B8"/>
    <w:rsid w:val="008B3FCF"/>
    <w:rsid w:val="008C14EC"/>
    <w:rsid w:val="008C2981"/>
    <w:rsid w:val="008C7EDB"/>
    <w:rsid w:val="008D4DD0"/>
    <w:rsid w:val="008D7DD6"/>
    <w:rsid w:val="008E0DA9"/>
    <w:rsid w:val="008E224D"/>
    <w:rsid w:val="008E3851"/>
    <w:rsid w:val="008E56CD"/>
    <w:rsid w:val="008F7348"/>
    <w:rsid w:val="008F7D89"/>
    <w:rsid w:val="00900774"/>
    <w:rsid w:val="009009E4"/>
    <w:rsid w:val="009026CD"/>
    <w:rsid w:val="009038BE"/>
    <w:rsid w:val="00903B2F"/>
    <w:rsid w:val="00904631"/>
    <w:rsid w:val="00904A2A"/>
    <w:rsid w:val="00920D1B"/>
    <w:rsid w:val="00922BF5"/>
    <w:rsid w:val="00924330"/>
    <w:rsid w:val="0092434A"/>
    <w:rsid w:val="00924AA7"/>
    <w:rsid w:val="0092530B"/>
    <w:rsid w:val="00926EC0"/>
    <w:rsid w:val="00927317"/>
    <w:rsid w:val="009341A6"/>
    <w:rsid w:val="00936C00"/>
    <w:rsid w:val="00937BE3"/>
    <w:rsid w:val="00941592"/>
    <w:rsid w:val="0094208C"/>
    <w:rsid w:val="00942356"/>
    <w:rsid w:val="00942F17"/>
    <w:rsid w:val="00943236"/>
    <w:rsid w:val="00946522"/>
    <w:rsid w:val="00952CEF"/>
    <w:rsid w:val="00955421"/>
    <w:rsid w:val="00956AC9"/>
    <w:rsid w:val="009579DA"/>
    <w:rsid w:val="0096132B"/>
    <w:rsid w:val="0096198E"/>
    <w:rsid w:val="009705AB"/>
    <w:rsid w:val="0097336D"/>
    <w:rsid w:val="009747AD"/>
    <w:rsid w:val="00980D2C"/>
    <w:rsid w:val="009860A4"/>
    <w:rsid w:val="00990E9C"/>
    <w:rsid w:val="00994542"/>
    <w:rsid w:val="0099461F"/>
    <w:rsid w:val="00994908"/>
    <w:rsid w:val="009974DE"/>
    <w:rsid w:val="009A6659"/>
    <w:rsid w:val="009A6CE4"/>
    <w:rsid w:val="009B160B"/>
    <w:rsid w:val="009B29DF"/>
    <w:rsid w:val="009B3BD9"/>
    <w:rsid w:val="009B4B5F"/>
    <w:rsid w:val="009C237B"/>
    <w:rsid w:val="009C4DD1"/>
    <w:rsid w:val="009D1129"/>
    <w:rsid w:val="009D3CF1"/>
    <w:rsid w:val="009D3E68"/>
    <w:rsid w:val="009D479F"/>
    <w:rsid w:val="009D6451"/>
    <w:rsid w:val="009D67C8"/>
    <w:rsid w:val="009E07C1"/>
    <w:rsid w:val="009E26DB"/>
    <w:rsid w:val="009E40B9"/>
    <w:rsid w:val="009E42DA"/>
    <w:rsid w:val="009E4D35"/>
    <w:rsid w:val="009E5A93"/>
    <w:rsid w:val="009F0BE3"/>
    <w:rsid w:val="009F3154"/>
    <w:rsid w:val="009F53A7"/>
    <w:rsid w:val="009F5685"/>
    <w:rsid w:val="00A1211C"/>
    <w:rsid w:val="00A15B77"/>
    <w:rsid w:val="00A17BCB"/>
    <w:rsid w:val="00A20113"/>
    <w:rsid w:val="00A20D78"/>
    <w:rsid w:val="00A2215F"/>
    <w:rsid w:val="00A22839"/>
    <w:rsid w:val="00A23E19"/>
    <w:rsid w:val="00A26153"/>
    <w:rsid w:val="00A32C3A"/>
    <w:rsid w:val="00A33185"/>
    <w:rsid w:val="00A348A2"/>
    <w:rsid w:val="00A41F87"/>
    <w:rsid w:val="00A46DB6"/>
    <w:rsid w:val="00A470D1"/>
    <w:rsid w:val="00A50068"/>
    <w:rsid w:val="00A5152C"/>
    <w:rsid w:val="00A52905"/>
    <w:rsid w:val="00A52D81"/>
    <w:rsid w:val="00A52E3C"/>
    <w:rsid w:val="00A53B04"/>
    <w:rsid w:val="00A54A24"/>
    <w:rsid w:val="00A552F0"/>
    <w:rsid w:val="00A57E83"/>
    <w:rsid w:val="00A63E31"/>
    <w:rsid w:val="00A657D9"/>
    <w:rsid w:val="00A661F4"/>
    <w:rsid w:val="00A66326"/>
    <w:rsid w:val="00A7271A"/>
    <w:rsid w:val="00A74CE3"/>
    <w:rsid w:val="00A74D79"/>
    <w:rsid w:val="00A81E19"/>
    <w:rsid w:val="00A84EB3"/>
    <w:rsid w:val="00A91EF6"/>
    <w:rsid w:val="00A9723B"/>
    <w:rsid w:val="00A97C96"/>
    <w:rsid w:val="00AA2207"/>
    <w:rsid w:val="00AA27E4"/>
    <w:rsid w:val="00AA3353"/>
    <w:rsid w:val="00AA40FD"/>
    <w:rsid w:val="00AA6587"/>
    <w:rsid w:val="00AB43A6"/>
    <w:rsid w:val="00AB76F1"/>
    <w:rsid w:val="00AB795F"/>
    <w:rsid w:val="00AC374F"/>
    <w:rsid w:val="00AC5CB7"/>
    <w:rsid w:val="00AC5F05"/>
    <w:rsid w:val="00AC6312"/>
    <w:rsid w:val="00AD1E77"/>
    <w:rsid w:val="00AD6D80"/>
    <w:rsid w:val="00AE2EDA"/>
    <w:rsid w:val="00AE43AD"/>
    <w:rsid w:val="00B00AA9"/>
    <w:rsid w:val="00B1160D"/>
    <w:rsid w:val="00B139FB"/>
    <w:rsid w:val="00B17BA9"/>
    <w:rsid w:val="00B22561"/>
    <w:rsid w:val="00B22B53"/>
    <w:rsid w:val="00B24BA1"/>
    <w:rsid w:val="00B262B2"/>
    <w:rsid w:val="00B27D8D"/>
    <w:rsid w:val="00B313D8"/>
    <w:rsid w:val="00B441E1"/>
    <w:rsid w:val="00B444E6"/>
    <w:rsid w:val="00B4617A"/>
    <w:rsid w:val="00B50B24"/>
    <w:rsid w:val="00B517B7"/>
    <w:rsid w:val="00B52011"/>
    <w:rsid w:val="00B53C97"/>
    <w:rsid w:val="00B53EFF"/>
    <w:rsid w:val="00B54AFA"/>
    <w:rsid w:val="00B57617"/>
    <w:rsid w:val="00B645DD"/>
    <w:rsid w:val="00B65A56"/>
    <w:rsid w:val="00B65D71"/>
    <w:rsid w:val="00B671A4"/>
    <w:rsid w:val="00B7116E"/>
    <w:rsid w:val="00B72FEC"/>
    <w:rsid w:val="00B73757"/>
    <w:rsid w:val="00B73BC2"/>
    <w:rsid w:val="00B804E8"/>
    <w:rsid w:val="00B852A3"/>
    <w:rsid w:val="00B867CD"/>
    <w:rsid w:val="00B9532B"/>
    <w:rsid w:val="00BA185E"/>
    <w:rsid w:val="00BA46C3"/>
    <w:rsid w:val="00BA78EA"/>
    <w:rsid w:val="00BB1410"/>
    <w:rsid w:val="00BB38D4"/>
    <w:rsid w:val="00BB7134"/>
    <w:rsid w:val="00BB71A4"/>
    <w:rsid w:val="00BB7915"/>
    <w:rsid w:val="00BC0CC4"/>
    <w:rsid w:val="00BC206C"/>
    <w:rsid w:val="00BC2E2B"/>
    <w:rsid w:val="00BC431A"/>
    <w:rsid w:val="00BC772E"/>
    <w:rsid w:val="00BC7AC9"/>
    <w:rsid w:val="00BD5D9A"/>
    <w:rsid w:val="00BE7591"/>
    <w:rsid w:val="00BE7BCA"/>
    <w:rsid w:val="00BF1E5F"/>
    <w:rsid w:val="00BF5810"/>
    <w:rsid w:val="00BF5AFA"/>
    <w:rsid w:val="00BF73EB"/>
    <w:rsid w:val="00C01A35"/>
    <w:rsid w:val="00C03772"/>
    <w:rsid w:val="00C04EDA"/>
    <w:rsid w:val="00C05783"/>
    <w:rsid w:val="00C0690A"/>
    <w:rsid w:val="00C0701E"/>
    <w:rsid w:val="00C119A2"/>
    <w:rsid w:val="00C1254A"/>
    <w:rsid w:val="00C129C2"/>
    <w:rsid w:val="00C15112"/>
    <w:rsid w:val="00C155B1"/>
    <w:rsid w:val="00C22255"/>
    <w:rsid w:val="00C26DCD"/>
    <w:rsid w:val="00C275DB"/>
    <w:rsid w:val="00C43ACF"/>
    <w:rsid w:val="00C43FB4"/>
    <w:rsid w:val="00C51F7F"/>
    <w:rsid w:val="00C537C0"/>
    <w:rsid w:val="00C53F1A"/>
    <w:rsid w:val="00C55377"/>
    <w:rsid w:val="00C566A2"/>
    <w:rsid w:val="00C57267"/>
    <w:rsid w:val="00C616FF"/>
    <w:rsid w:val="00C62B63"/>
    <w:rsid w:val="00C65243"/>
    <w:rsid w:val="00C65BFA"/>
    <w:rsid w:val="00C72403"/>
    <w:rsid w:val="00C72B5B"/>
    <w:rsid w:val="00C77597"/>
    <w:rsid w:val="00C80CCB"/>
    <w:rsid w:val="00C869F3"/>
    <w:rsid w:val="00C93F92"/>
    <w:rsid w:val="00C94C66"/>
    <w:rsid w:val="00CA0C7D"/>
    <w:rsid w:val="00CA4225"/>
    <w:rsid w:val="00CA78D5"/>
    <w:rsid w:val="00CB16A5"/>
    <w:rsid w:val="00CB6E34"/>
    <w:rsid w:val="00CC12F3"/>
    <w:rsid w:val="00CC18AC"/>
    <w:rsid w:val="00CC4C07"/>
    <w:rsid w:val="00CC5BE9"/>
    <w:rsid w:val="00CC624B"/>
    <w:rsid w:val="00CD3544"/>
    <w:rsid w:val="00CD7D5D"/>
    <w:rsid w:val="00CF0621"/>
    <w:rsid w:val="00CF0FC4"/>
    <w:rsid w:val="00CF2547"/>
    <w:rsid w:val="00CF682C"/>
    <w:rsid w:val="00CF6932"/>
    <w:rsid w:val="00CF744F"/>
    <w:rsid w:val="00D0157D"/>
    <w:rsid w:val="00D01FE3"/>
    <w:rsid w:val="00D0381E"/>
    <w:rsid w:val="00D04CB2"/>
    <w:rsid w:val="00D067FE"/>
    <w:rsid w:val="00D06CA3"/>
    <w:rsid w:val="00D074C7"/>
    <w:rsid w:val="00D07F46"/>
    <w:rsid w:val="00D100E8"/>
    <w:rsid w:val="00D170E5"/>
    <w:rsid w:val="00D23ABE"/>
    <w:rsid w:val="00D252A2"/>
    <w:rsid w:val="00D30BAD"/>
    <w:rsid w:val="00D32E3D"/>
    <w:rsid w:val="00D37B01"/>
    <w:rsid w:val="00D37F2F"/>
    <w:rsid w:val="00D40BC1"/>
    <w:rsid w:val="00D415B9"/>
    <w:rsid w:val="00D50257"/>
    <w:rsid w:val="00D528E8"/>
    <w:rsid w:val="00D56929"/>
    <w:rsid w:val="00D76A51"/>
    <w:rsid w:val="00D771D0"/>
    <w:rsid w:val="00D77906"/>
    <w:rsid w:val="00D8311A"/>
    <w:rsid w:val="00D835CF"/>
    <w:rsid w:val="00D85955"/>
    <w:rsid w:val="00D906C2"/>
    <w:rsid w:val="00D91C9E"/>
    <w:rsid w:val="00D9223D"/>
    <w:rsid w:val="00DA176F"/>
    <w:rsid w:val="00DA26FB"/>
    <w:rsid w:val="00DA36BE"/>
    <w:rsid w:val="00DB6C3D"/>
    <w:rsid w:val="00DC2956"/>
    <w:rsid w:val="00DC48C4"/>
    <w:rsid w:val="00DC5ACF"/>
    <w:rsid w:val="00DD3573"/>
    <w:rsid w:val="00DD7468"/>
    <w:rsid w:val="00DD7A27"/>
    <w:rsid w:val="00DE23E6"/>
    <w:rsid w:val="00DE25E9"/>
    <w:rsid w:val="00DE71D3"/>
    <w:rsid w:val="00DE72CF"/>
    <w:rsid w:val="00DF08A0"/>
    <w:rsid w:val="00DF2107"/>
    <w:rsid w:val="00DF5CAB"/>
    <w:rsid w:val="00E064AC"/>
    <w:rsid w:val="00E13BEF"/>
    <w:rsid w:val="00E17E5E"/>
    <w:rsid w:val="00E203B7"/>
    <w:rsid w:val="00E2062D"/>
    <w:rsid w:val="00E20BB3"/>
    <w:rsid w:val="00E24BA8"/>
    <w:rsid w:val="00E334A4"/>
    <w:rsid w:val="00E35EE2"/>
    <w:rsid w:val="00E424F9"/>
    <w:rsid w:val="00E46E7F"/>
    <w:rsid w:val="00E51F29"/>
    <w:rsid w:val="00E5297F"/>
    <w:rsid w:val="00E55335"/>
    <w:rsid w:val="00E629A9"/>
    <w:rsid w:val="00E67F91"/>
    <w:rsid w:val="00E70760"/>
    <w:rsid w:val="00E84A5C"/>
    <w:rsid w:val="00E84A9E"/>
    <w:rsid w:val="00E85750"/>
    <w:rsid w:val="00E85B1D"/>
    <w:rsid w:val="00E87475"/>
    <w:rsid w:val="00E90A8C"/>
    <w:rsid w:val="00E91B25"/>
    <w:rsid w:val="00E9253C"/>
    <w:rsid w:val="00E947D9"/>
    <w:rsid w:val="00E9738F"/>
    <w:rsid w:val="00EA5C0F"/>
    <w:rsid w:val="00EA77D0"/>
    <w:rsid w:val="00EB11E9"/>
    <w:rsid w:val="00EB36F8"/>
    <w:rsid w:val="00EB3CF0"/>
    <w:rsid w:val="00EB45B5"/>
    <w:rsid w:val="00EB5E57"/>
    <w:rsid w:val="00EB61DB"/>
    <w:rsid w:val="00EB69F0"/>
    <w:rsid w:val="00EB7201"/>
    <w:rsid w:val="00EC11A6"/>
    <w:rsid w:val="00EC54DC"/>
    <w:rsid w:val="00ED15DC"/>
    <w:rsid w:val="00ED1AD0"/>
    <w:rsid w:val="00ED4AFD"/>
    <w:rsid w:val="00ED5CB6"/>
    <w:rsid w:val="00ED6776"/>
    <w:rsid w:val="00EE0A78"/>
    <w:rsid w:val="00EE4FBE"/>
    <w:rsid w:val="00EF2A95"/>
    <w:rsid w:val="00EF4C8D"/>
    <w:rsid w:val="00EF4D6E"/>
    <w:rsid w:val="00F01014"/>
    <w:rsid w:val="00F02512"/>
    <w:rsid w:val="00F038A1"/>
    <w:rsid w:val="00F06E4E"/>
    <w:rsid w:val="00F074A8"/>
    <w:rsid w:val="00F11C80"/>
    <w:rsid w:val="00F1233A"/>
    <w:rsid w:val="00F12F9B"/>
    <w:rsid w:val="00F13CB8"/>
    <w:rsid w:val="00F16EDB"/>
    <w:rsid w:val="00F22A84"/>
    <w:rsid w:val="00F238E0"/>
    <w:rsid w:val="00F27E90"/>
    <w:rsid w:val="00F44D11"/>
    <w:rsid w:val="00F51E01"/>
    <w:rsid w:val="00F527B1"/>
    <w:rsid w:val="00F52AEE"/>
    <w:rsid w:val="00F5450D"/>
    <w:rsid w:val="00F55C47"/>
    <w:rsid w:val="00F5649A"/>
    <w:rsid w:val="00F607E2"/>
    <w:rsid w:val="00F61E9A"/>
    <w:rsid w:val="00F62777"/>
    <w:rsid w:val="00F64D7A"/>
    <w:rsid w:val="00F664A9"/>
    <w:rsid w:val="00F666FD"/>
    <w:rsid w:val="00F66B09"/>
    <w:rsid w:val="00F67DC5"/>
    <w:rsid w:val="00F74848"/>
    <w:rsid w:val="00F7787D"/>
    <w:rsid w:val="00F81CC8"/>
    <w:rsid w:val="00F82342"/>
    <w:rsid w:val="00F8693C"/>
    <w:rsid w:val="00F86C5B"/>
    <w:rsid w:val="00F877DB"/>
    <w:rsid w:val="00F91AE4"/>
    <w:rsid w:val="00F92063"/>
    <w:rsid w:val="00F93C8B"/>
    <w:rsid w:val="00F959DD"/>
    <w:rsid w:val="00F95B95"/>
    <w:rsid w:val="00F95E08"/>
    <w:rsid w:val="00F960D5"/>
    <w:rsid w:val="00F96998"/>
    <w:rsid w:val="00FA2762"/>
    <w:rsid w:val="00FB1231"/>
    <w:rsid w:val="00FB287C"/>
    <w:rsid w:val="00FB5523"/>
    <w:rsid w:val="00FC1C5C"/>
    <w:rsid w:val="00FC65A6"/>
    <w:rsid w:val="00FC72E4"/>
    <w:rsid w:val="00FD0A81"/>
    <w:rsid w:val="00FD222B"/>
    <w:rsid w:val="00FD47B5"/>
    <w:rsid w:val="00FD671D"/>
    <w:rsid w:val="00FD7555"/>
    <w:rsid w:val="00FE17E2"/>
    <w:rsid w:val="00FE4A3D"/>
    <w:rsid w:val="00FE6F9E"/>
    <w:rsid w:val="00FF0A9D"/>
    <w:rsid w:val="00FF5A38"/>
    <w:rsid w:val="00FF6E4B"/>
    <w:rsid w:val="00FF7F52"/>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7F274"/>
  <w15:docId w15:val="{ADF9750B-6C82-411C-A855-D7A465AA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cPr>
  </w:style>
  <w:style w:type="character" w:styleId="UnresolvedMention">
    <w:name w:val="Unresolved Mention"/>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semiHidden/>
    <w:unhideWhenUsed/>
    <w:rsid w:val="00356CFF"/>
    <w:rPr>
      <w:sz w:val="16"/>
      <w:szCs w:val="16"/>
    </w:rPr>
  </w:style>
  <w:style w:type="paragraph" w:styleId="CommentText">
    <w:name w:val="annotation text"/>
    <w:basedOn w:val="Normal"/>
    <w:link w:val="CommentTextChar"/>
    <w:semiHidden/>
    <w:unhideWhenUsed/>
    <w:rsid w:val="00356CFF"/>
    <w:rPr>
      <w:sz w:val="20"/>
    </w:rPr>
  </w:style>
  <w:style w:type="character" w:customStyle="1" w:styleId="CommentTextChar">
    <w:name w:val="Comment Text Char"/>
    <w:link w:val="CommentText"/>
    <w:semiHidden/>
    <w:rsid w:val="00356CFF"/>
    <w:rPr>
      <w:rFonts w:ascii="Arial" w:hAnsi="Arial"/>
      <w:lang w:eastAsia="en-US"/>
    </w:rPr>
  </w:style>
  <w:style w:type="paragraph" w:styleId="CommentSubject">
    <w:name w:val="annotation subject"/>
    <w:basedOn w:val="CommentText"/>
    <w:next w:val="CommentText"/>
    <w:link w:val="CommentSubjectChar"/>
    <w:semiHidden/>
    <w:unhideWhenUsed/>
    <w:rsid w:val="00356CFF"/>
    <w:rPr>
      <w:b/>
      <w:bCs/>
    </w:rPr>
  </w:style>
  <w:style w:type="character" w:customStyle="1" w:styleId="CommentSubjectChar">
    <w:name w:val="Comment Subject Char"/>
    <w:link w:val="CommentSubject"/>
    <w:semiHidden/>
    <w:rsid w:val="00356CFF"/>
    <w:rPr>
      <w:rFonts w:ascii="Arial" w:hAnsi="Arial"/>
      <w:b/>
      <w:bCs/>
      <w:lang w:eastAsia="en-US"/>
    </w:rPr>
  </w:style>
  <w:style w:type="paragraph" w:customStyle="1" w:styleId="CharCharCharChar0">
    <w:name w:val="Char Char Char Char"/>
    <w:basedOn w:val="Normal"/>
    <w:locked/>
    <w:rsid w:val="00CC12F3"/>
    <w:pPr>
      <w:spacing w:after="160" w:line="240" w:lineRule="exact"/>
    </w:pPr>
    <w:rPr>
      <w:rFonts w:ascii="Verdana" w:hAnsi="Verdana"/>
      <w:sz w:val="20"/>
      <w:lang w:val="en-US"/>
    </w:rPr>
  </w:style>
  <w:style w:type="paragraph" w:customStyle="1" w:styleId="CharCharCharChar1">
    <w:name w:val="Char Char Char Char"/>
    <w:basedOn w:val="Normal"/>
    <w:locked/>
    <w:rsid w:val="00F1233A"/>
    <w:pPr>
      <w:spacing w:after="160" w:line="240" w:lineRule="exact"/>
    </w:pPr>
    <w:rPr>
      <w:rFonts w:ascii="Verdana" w:hAnsi="Verdana"/>
      <w:sz w:val="20"/>
      <w:lang w:val="en-US"/>
    </w:rPr>
  </w:style>
  <w:style w:type="character" w:customStyle="1" w:styleId="spellingerror">
    <w:name w:val="spellingerror"/>
    <w:basedOn w:val="DefaultParagraphFont"/>
    <w:rsid w:val="004C591D"/>
  </w:style>
  <w:style w:type="paragraph" w:customStyle="1" w:styleId="Default">
    <w:name w:val="Default"/>
    <w:rsid w:val="00CC4C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54620449">
      <w:bodyDiv w:val="1"/>
      <w:marLeft w:val="0"/>
      <w:marRight w:val="0"/>
      <w:marTop w:val="0"/>
      <w:marBottom w:val="0"/>
      <w:divBdr>
        <w:top w:val="none" w:sz="0" w:space="0" w:color="auto"/>
        <w:left w:val="none" w:sz="0" w:space="0" w:color="auto"/>
        <w:bottom w:val="none" w:sz="0" w:space="0" w:color="auto"/>
        <w:right w:val="none" w:sz="0" w:space="0" w:color="auto"/>
      </w:divBdr>
    </w:div>
    <w:div w:id="374280974">
      <w:bodyDiv w:val="1"/>
      <w:marLeft w:val="0"/>
      <w:marRight w:val="0"/>
      <w:marTop w:val="0"/>
      <w:marBottom w:val="0"/>
      <w:divBdr>
        <w:top w:val="none" w:sz="0" w:space="0" w:color="auto"/>
        <w:left w:val="none" w:sz="0" w:space="0" w:color="auto"/>
        <w:bottom w:val="none" w:sz="0" w:space="0" w:color="auto"/>
        <w:right w:val="none" w:sz="0" w:space="0" w:color="auto"/>
      </w:divBdr>
    </w:div>
    <w:div w:id="572013171">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26395975">
      <w:bodyDiv w:val="1"/>
      <w:marLeft w:val="0"/>
      <w:marRight w:val="0"/>
      <w:marTop w:val="0"/>
      <w:marBottom w:val="0"/>
      <w:divBdr>
        <w:top w:val="none" w:sz="0" w:space="0" w:color="auto"/>
        <w:left w:val="none" w:sz="0" w:space="0" w:color="auto"/>
        <w:bottom w:val="none" w:sz="0" w:space="0" w:color="auto"/>
        <w:right w:val="none" w:sz="0" w:space="0" w:color="auto"/>
      </w:divBdr>
    </w:div>
    <w:div w:id="673843428">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44318470">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83131069">
      <w:bodyDiv w:val="1"/>
      <w:marLeft w:val="0"/>
      <w:marRight w:val="0"/>
      <w:marTop w:val="0"/>
      <w:marBottom w:val="0"/>
      <w:divBdr>
        <w:top w:val="none" w:sz="0" w:space="0" w:color="auto"/>
        <w:left w:val="none" w:sz="0" w:space="0" w:color="auto"/>
        <w:bottom w:val="none" w:sz="0" w:space="0" w:color="auto"/>
        <w:right w:val="none" w:sz="0" w:space="0" w:color="auto"/>
      </w:divBdr>
    </w:div>
    <w:div w:id="1649086449">
      <w:bodyDiv w:val="1"/>
      <w:marLeft w:val="0"/>
      <w:marRight w:val="0"/>
      <w:marTop w:val="0"/>
      <w:marBottom w:val="0"/>
      <w:divBdr>
        <w:top w:val="none" w:sz="0" w:space="0" w:color="auto"/>
        <w:left w:val="none" w:sz="0" w:space="0" w:color="auto"/>
        <w:bottom w:val="none" w:sz="0" w:space="0" w:color="auto"/>
        <w:right w:val="none" w:sz="0" w:space="0" w:color="auto"/>
      </w:divBdr>
    </w:div>
    <w:div w:id="1688824576">
      <w:bodyDiv w:val="1"/>
      <w:marLeft w:val="0"/>
      <w:marRight w:val="0"/>
      <w:marTop w:val="0"/>
      <w:marBottom w:val="0"/>
      <w:divBdr>
        <w:top w:val="none" w:sz="0" w:space="0" w:color="auto"/>
        <w:left w:val="none" w:sz="0" w:space="0" w:color="auto"/>
        <w:bottom w:val="none" w:sz="0" w:space="0" w:color="auto"/>
        <w:right w:val="none" w:sz="0" w:space="0" w:color="auto"/>
      </w:divBdr>
    </w:div>
    <w:div w:id="20481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ortandleisure@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m.bryan@harrow.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tmp"/><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ange.org/p/keep-harrow-s-parks-free-t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9324602F-51EA-4011-B9EA-8D49A7D3E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3957</Words>
  <Characters>20876</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24784</CharactersWithSpaces>
  <SharedDoc>false</SharedDoc>
  <HLinks>
    <vt:vector size="12" baseType="variant">
      <vt:variant>
        <vt:i4>8323166</vt:i4>
      </vt:variant>
      <vt:variant>
        <vt:i4>6</vt:i4>
      </vt:variant>
      <vt:variant>
        <vt:i4>0</vt:i4>
      </vt:variant>
      <vt:variant>
        <vt:i4>5</vt:i4>
      </vt:variant>
      <vt:variant>
        <vt:lpwstr>mailto:tim.bryan@harrow.gov.uk</vt:lpwstr>
      </vt:variant>
      <vt:variant>
        <vt:lpwstr/>
      </vt:variant>
      <vt:variant>
        <vt:i4>393277</vt:i4>
      </vt:variant>
      <vt:variant>
        <vt:i4>0</vt:i4>
      </vt:variant>
      <vt:variant>
        <vt:i4>0</vt:i4>
      </vt:variant>
      <vt:variant>
        <vt:i4>5</vt:i4>
      </vt:variant>
      <vt:variant>
        <vt:lpwstr>mailto:dipti.patel@harrow.gov.uk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9</cp:revision>
  <cp:lastPrinted>2014-10-31T16:34:00Z</cp:lastPrinted>
  <dcterms:created xsi:type="dcterms:W3CDTF">2022-11-03T08:03:00Z</dcterms:created>
  <dcterms:modified xsi:type="dcterms:W3CDTF">2022-11-09T14:56:00Z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